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6392" w14:textId="77777777" w:rsidR="009904A2" w:rsidRPr="004C21E2" w:rsidRDefault="00EE092F" w:rsidP="003A5688">
      <w:pPr>
        <w:ind w:firstLine="720"/>
        <w:jc w:val="center"/>
        <w:rPr>
          <w:rFonts w:ascii="Lucida Sans Unicode" w:hAnsi="Lucida Sans Unicode" w:cs="Lucida Sans Unicode"/>
          <w:b/>
          <w:sz w:val="28"/>
          <w:szCs w:val="28"/>
          <w:lang w:val="en-AU"/>
        </w:rPr>
      </w:pPr>
      <w:r w:rsidRPr="004C21E2">
        <w:rPr>
          <w:rFonts w:ascii="Lucida Sans Unicode" w:hAnsi="Lucida Sans Unicode" w:cs="Lucida Sans Unicode"/>
          <w:b/>
          <w:sz w:val="28"/>
          <w:szCs w:val="28"/>
          <w:lang w:val="en-AU"/>
        </w:rPr>
        <w:t xml:space="preserve">Review of </w:t>
      </w:r>
      <w:r w:rsidR="009904A2" w:rsidRPr="004C21E2">
        <w:rPr>
          <w:rFonts w:ascii="Lucida Sans Unicode" w:hAnsi="Lucida Sans Unicode" w:cs="Lucida Sans Unicode"/>
          <w:b/>
          <w:sz w:val="28"/>
          <w:szCs w:val="28"/>
          <w:lang w:val="en-AU"/>
        </w:rPr>
        <w:t xml:space="preserve">ANBG Friends </w:t>
      </w:r>
      <w:r w:rsidRPr="004C21E2">
        <w:rPr>
          <w:rFonts w:ascii="Lucida Sans Unicode" w:hAnsi="Lucida Sans Unicode" w:cs="Lucida Sans Unicode"/>
          <w:b/>
          <w:sz w:val="28"/>
          <w:szCs w:val="28"/>
          <w:lang w:val="en-AU"/>
        </w:rPr>
        <w:t>Constitution</w:t>
      </w:r>
    </w:p>
    <w:p w14:paraId="3EF743FA" w14:textId="5586BFFA" w:rsidR="00EE092F" w:rsidRPr="004C21E2" w:rsidRDefault="009904A2" w:rsidP="004449D9">
      <w:pPr>
        <w:jc w:val="center"/>
        <w:rPr>
          <w:rFonts w:ascii="Lucida Sans Unicode" w:hAnsi="Lucida Sans Unicode" w:cs="Lucida Sans Unicode"/>
          <w:b/>
          <w:sz w:val="28"/>
          <w:szCs w:val="28"/>
          <w:lang w:val="en-AU"/>
        </w:rPr>
      </w:pPr>
      <w:r w:rsidRPr="004C21E2">
        <w:rPr>
          <w:rFonts w:ascii="Lucida Sans Unicode" w:hAnsi="Lucida Sans Unicode" w:cs="Lucida Sans Unicode"/>
          <w:b/>
          <w:sz w:val="28"/>
          <w:szCs w:val="28"/>
          <w:lang w:val="en-AU"/>
        </w:rPr>
        <w:t xml:space="preserve">Discussion paper </w:t>
      </w:r>
    </w:p>
    <w:p w14:paraId="2EF7A7F6" w14:textId="77777777" w:rsidR="00EE092F" w:rsidRPr="00311DB1" w:rsidRDefault="00EE092F" w:rsidP="00EE092F">
      <w:pPr>
        <w:rPr>
          <w:rFonts w:ascii="Lucida Sans Unicode" w:hAnsi="Lucida Sans Unicode" w:cs="Lucida Sans Unicode"/>
          <w:b/>
          <w:sz w:val="28"/>
          <w:szCs w:val="28"/>
          <w:lang w:val="en-AU"/>
        </w:rPr>
      </w:pPr>
      <w:r w:rsidRPr="00311DB1">
        <w:rPr>
          <w:rFonts w:ascii="Lucida Sans Unicode" w:hAnsi="Lucida Sans Unicode" w:cs="Lucida Sans Unicode"/>
          <w:b/>
          <w:sz w:val="28"/>
          <w:szCs w:val="28"/>
          <w:lang w:val="en-AU"/>
        </w:rPr>
        <w:t>Background</w:t>
      </w:r>
    </w:p>
    <w:p w14:paraId="504D8C47" w14:textId="77777777" w:rsidR="00EE092F" w:rsidRPr="00A764FF" w:rsidRDefault="00EE092F" w:rsidP="00EE092F">
      <w:pPr>
        <w:rPr>
          <w:lang w:val="en-AU"/>
        </w:rPr>
      </w:pPr>
    </w:p>
    <w:p w14:paraId="5CF906D8" w14:textId="36B8B705" w:rsidR="005607B2" w:rsidRPr="00A764FF" w:rsidRDefault="00993641" w:rsidP="00895F99">
      <w:pPr>
        <w:rPr>
          <w:lang w:val="en-AU"/>
        </w:rPr>
      </w:pPr>
      <w:r w:rsidRPr="00A764FF">
        <w:rPr>
          <w:lang w:val="en-AU"/>
        </w:rPr>
        <w:t xml:space="preserve">The Friends are incorporated under the ACT </w:t>
      </w:r>
      <w:r w:rsidRPr="00A764FF">
        <w:rPr>
          <w:i/>
          <w:lang w:val="en-AU"/>
        </w:rPr>
        <w:t>Associations Incorporation Act</w:t>
      </w:r>
      <w:r w:rsidRPr="00A764FF">
        <w:rPr>
          <w:i/>
          <w:iCs/>
          <w:lang w:val="en-AU"/>
        </w:rPr>
        <w:t xml:space="preserve"> 1991</w:t>
      </w:r>
      <w:r w:rsidR="00FE26D4" w:rsidRPr="00A764FF">
        <w:rPr>
          <w:lang w:val="en-AU"/>
        </w:rPr>
        <w:t xml:space="preserve"> and its Constitution is based on the model rules in Schedule 1 of the </w:t>
      </w:r>
      <w:r w:rsidR="00FE26D4" w:rsidRPr="00A764FF">
        <w:rPr>
          <w:i/>
          <w:iCs/>
          <w:lang w:val="en-AU"/>
        </w:rPr>
        <w:t>Associations Incorporation Regulation 1991</w:t>
      </w:r>
      <w:r w:rsidR="00FE26D4" w:rsidRPr="00A764FF">
        <w:rPr>
          <w:lang w:val="en-AU"/>
        </w:rPr>
        <w:t>.</w:t>
      </w:r>
    </w:p>
    <w:p w14:paraId="0678B777" w14:textId="77777777" w:rsidR="005607B2" w:rsidRPr="00A764FF" w:rsidRDefault="005607B2" w:rsidP="00895F99">
      <w:pPr>
        <w:rPr>
          <w:lang w:val="en-AU"/>
        </w:rPr>
      </w:pPr>
    </w:p>
    <w:p w14:paraId="13574DCB" w14:textId="48EA19D4" w:rsidR="005607B2" w:rsidRPr="00A764FF" w:rsidRDefault="00993641" w:rsidP="005607B2">
      <w:pPr>
        <w:rPr>
          <w:rFonts w:eastAsia="Times New Roman" w:cs="Times New Roman"/>
          <w:lang w:val="en-AU" w:eastAsia="en-US"/>
        </w:rPr>
      </w:pPr>
      <w:r w:rsidRPr="00A764FF">
        <w:rPr>
          <w:lang w:val="en-AU"/>
        </w:rPr>
        <w:t xml:space="preserve">The Friends </w:t>
      </w:r>
      <w:r w:rsidR="00FE26D4" w:rsidRPr="00A764FF">
        <w:rPr>
          <w:lang w:val="en-AU"/>
        </w:rPr>
        <w:t xml:space="preserve">and its Public Fund </w:t>
      </w:r>
      <w:r w:rsidRPr="00A764FF">
        <w:rPr>
          <w:lang w:val="en-AU"/>
        </w:rPr>
        <w:t xml:space="preserve">are </w:t>
      </w:r>
      <w:r w:rsidRPr="00A764FF">
        <w:rPr>
          <w:rFonts w:eastAsia="Times New Roman" w:cs="Times New Roman"/>
          <w:color w:val="000000"/>
          <w:shd w:val="clear" w:color="auto" w:fill="FFFFFF"/>
          <w:lang w:val="en-AU" w:eastAsia="en-US"/>
        </w:rPr>
        <w:t xml:space="preserve">also </w:t>
      </w:r>
      <w:r w:rsidR="00895F99" w:rsidRPr="00A764FF">
        <w:rPr>
          <w:rFonts w:eastAsia="Times New Roman" w:cs="Times New Roman"/>
          <w:color w:val="000000"/>
          <w:shd w:val="clear" w:color="auto" w:fill="FFFFFF"/>
          <w:lang w:val="en-AU" w:eastAsia="en-US"/>
        </w:rPr>
        <w:t xml:space="preserve">included </w:t>
      </w:r>
      <w:r w:rsidR="00FE26D4" w:rsidRPr="00A764FF">
        <w:rPr>
          <w:rFonts w:eastAsia="Times New Roman" w:cs="Times New Roman"/>
          <w:color w:val="000000"/>
          <w:shd w:val="clear" w:color="auto" w:fill="FFFFFF"/>
          <w:lang w:val="en-AU" w:eastAsia="en-US"/>
        </w:rPr>
        <w:t>o</w:t>
      </w:r>
      <w:r w:rsidR="00895F99" w:rsidRPr="00A764FF">
        <w:rPr>
          <w:rFonts w:eastAsia="Times New Roman" w:cs="Times New Roman"/>
          <w:color w:val="000000"/>
          <w:shd w:val="clear" w:color="auto" w:fill="FFFFFF"/>
          <w:lang w:val="en-AU" w:eastAsia="en-US"/>
        </w:rPr>
        <w:t>n the Register of Environmental Organisations (REO) administered by the Commonwealth</w:t>
      </w:r>
      <w:r w:rsidR="005607B2" w:rsidRPr="00A764FF">
        <w:rPr>
          <w:rFonts w:eastAsia="Times New Roman" w:cs="Times New Roman"/>
          <w:color w:val="000000"/>
          <w:shd w:val="clear" w:color="auto" w:fill="FFFFFF"/>
          <w:lang w:val="en-AU" w:eastAsia="en-US"/>
        </w:rPr>
        <w:t xml:space="preserve"> under the </w:t>
      </w:r>
      <w:r w:rsidR="005607B2" w:rsidRPr="00A764FF">
        <w:rPr>
          <w:rFonts w:eastAsia="Times New Roman" w:cs="Times New Roman"/>
          <w:i/>
          <w:color w:val="000000"/>
          <w:shd w:val="clear" w:color="auto" w:fill="FFFFFF"/>
          <w:lang w:val="en-AU" w:eastAsia="en-US"/>
        </w:rPr>
        <w:t>Income Tax Assessment Act 1997</w:t>
      </w:r>
      <w:r w:rsidR="005607B2" w:rsidRPr="00A764FF">
        <w:rPr>
          <w:rFonts w:eastAsia="Times New Roman" w:cs="Times New Roman"/>
          <w:color w:val="000000"/>
          <w:shd w:val="clear" w:color="auto" w:fill="FFFFFF"/>
          <w:lang w:val="en-AU" w:eastAsia="en-US"/>
        </w:rPr>
        <w:t xml:space="preserve"> (ITA Act). This allows the Friends</w:t>
      </w:r>
      <w:r w:rsidR="00FE26D4" w:rsidRPr="00A764FF">
        <w:rPr>
          <w:rFonts w:eastAsia="Times New Roman" w:cs="Times New Roman"/>
          <w:color w:val="000000"/>
          <w:shd w:val="clear" w:color="auto" w:fill="FFFFFF"/>
          <w:lang w:val="en-AU" w:eastAsia="en-US"/>
        </w:rPr>
        <w:t xml:space="preserve">, through </w:t>
      </w:r>
      <w:r w:rsidR="00A86E82" w:rsidRPr="00A764FF">
        <w:rPr>
          <w:rFonts w:eastAsia="Times New Roman" w:cs="Times New Roman"/>
          <w:color w:val="000000"/>
          <w:shd w:val="clear" w:color="auto" w:fill="FFFFFF"/>
          <w:lang w:val="en-AU" w:eastAsia="en-US"/>
        </w:rPr>
        <w:t xml:space="preserve">the </w:t>
      </w:r>
      <w:r w:rsidR="00FE26D4" w:rsidRPr="00A764FF">
        <w:rPr>
          <w:rFonts w:eastAsia="Times New Roman" w:cs="Times New Roman"/>
          <w:color w:val="000000"/>
          <w:shd w:val="clear" w:color="auto" w:fill="FFFFFF"/>
          <w:lang w:val="en-AU" w:eastAsia="en-US"/>
        </w:rPr>
        <w:t>P</w:t>
      </w:r>
      <w:r w:rsidR="00A86E82" w:rsidRPr="00A764FF">
        <w:rPr>
          <w:rFonts w:eastAsia="Times New Roman" w:cs="Times New Roman"/>
          <w:color w:val="000000"/>
          <w:shd w:val="clear" w:color="auto" w:fill="FFFFFF"/>
          <w:lang w:val="en-AU" w:eastAsia="en-US"/>
        </w:rPr>
        <w:t xml:space="preserve">ublic </w:t>
      </w:r>
      <w:r w:rsidR="00FE26D4" w:rsidRPr="00A764FF">
        <w:rPr>
          <w:rFonts w:eastAsia="Times New Roman" w:cs="Times New Roman"/>
          <w:color w:val="000000"/>
          <w:shd w:val="clear" w:color="auto" w:fill="FFFFFF"/>
          <w:lang w:val="en-AU" w:eastAsia="en-US"/>
        </w:rPr>
        <w:t>F</w:t>
      </w:r>
      <w:r w:rsidR="00A86E82" w:rsidRPr="00A764FF">
        <w:rPr>
          <w:rFonts w:eastAsia="Times New Roman" w:cs="Times New Roman"/>
          <w:color w:val="000000"/>
          <w:shd w:val="clear" w:color="auto" w:fill="FFFFFF"/>
          <w:lang w:val="en-AU" w:eastAsia="en-US"/>
        </w:rPr>
        <w:t>und</w:t>
      </w:r>
      <w:r w:rsidR="00FE26D4" w:rsidRPr="00A764FF">
        <w:rPr>
          <w:rFonts w:eastAsia="Times New Roman" w:cs="Times New Roman"/>
          <w:color w:val="000000"/>
          <w:shd w:val="clear" w:color="auto" w:fill="FFFFFF"/>
          <w:lang w:val="en-AU" w:eastAsia="en-US"/>
        </w:rPr>
        <w:t>,</w:t>
      </w:r>
      <w:r w:rsidR="00895F99" w:rsidRPr="00A764FF">
        <w:rPr>
          <w:rFonts w:eastAsia="Times New Roman" w:cs="Times New Roman"/>
          <w:color w:val="000000"/>
          <w:shd w:val="clear" w:color="auto" w:fill="FFFFFF"/>
          <w:lang w:val="en-AU" w:eastAsia="en-US"/>
        </w:rPr>
        <w:t xml:space="preserve"> to receive tax deductable gifts from the public</w:t>
      </w:r>
      <w:r w:rsidR="005607B2" w:rsidRPr="00A764FF">
        <w:rPr>
          <w:rFonts w:eastAsia="Times New Roman" w:cs="Times New Roman"/>
          <w:color w:val="000000"/>
          <w:shd w:val="clear" w:color="auto" w:fill="FFFFFF"/>
          <w:lang w:val="en-AU" w:eastAsia="en-US"/>
        </w:rPr>
        <w:t xml:space="preserve">. </w:t>
      </w:r>
      <w:r w:rsidRPr="00A764FF">
        <w:rPr>
          <w:rFonts w:eastAsia="Times New Roman" w:cs="Times New Roman"/>
          <w:color w:val="000000"/>
          <w:shd w:val="clear" w:color="auto" w:fill="FFFFFF"/>
          <w:lang w:val="en-AU" w:eastAsia="en-US"/>
        </w:rPr>
        <w:t>Legislati</w:t>
      </w:r>
      <w:r w:rsidR="005607B2" w:rsidRPr="00A764FF">
        <w:rPr>
          <w:rFonts w:eastAsia="Times New Roman" w:cs="Times New Roman"/>
          <w:color w:val="000000"/>
          <w:shd w:val="clear" w:color="auto" w:fill="FFFFFF"/>
          <w:lang w:val="en-AU" w:eastAsia="en-US"/>
        </w:rPr>
        <w:t>ve changes to the ITA Act in September 2021 require</w:t>
      </w:r>
      <w:r w:rsidRPr="00A764FF">
        <w:rPr>
          <w:rFonts w:eastAsia="Times New Roman" w:cs="Times New Roman"/>
          <w:color w:val="000000"/>
          <w:shd w:val="clear" w:color="auto" w:fill="FFFFFF"/>
          <w:lang w:val="en-AU" w:eastAsia="en-US"/>
        </w:rPr>
        <w:t xml:space="preserve"> </w:t>
      </w:r>
      <w:r w:rsidR="0067657E" w:rsidRPr="00A764FF">
        <w:rPr>
          <w:rFonts w:eastAsia="Times New Roman" w:cs="Times New Roman"/>
          <w:color w:val="000000"/>
          <w:shd w:val="clear" w:color="auto" w:fill="FFFFFF"/>
          <w:lang w:val="en-AU" w:eastAsia="en-US"/>
        </w:rPr>
        <w:t>non-government deductible gift recipients (DGRs) </w:t>
      </w:r>
      <w:r w:rsidRPr="00A764FF">
        <w:rPr>
          <w:rFonts w:eastAsia="Times New Roman" w:cs="Times New Roman"/>
          <w:color w:val="000000"/>
          <w:shd w:val="clear" w:color="auto" w:fill="FFFFFF"/>
          <w:lang w:val="en-AU" w:eastAsia="en-US"/>
        </w:rPr>
        <w:t>to be a registered charity from 14 December 2021</w:t>
      </w:r>
      <w:r w:rsidR="00895F99" w:rsidRPr="00A764FF">
        <w:rPr>
          <w:rFonts w:eastAsia="Times New Roman" w:cs="Times New Roman"/>
          <w:color w:val="000000"/>
          <w:shd w:val="clear" w:color="auto" w:fill="FFFFFF"/>
          <w:lang w:val="en-AU" w:eastAsia="en-US"/>
        </w:rPr>
        <w:t xml:space="preserve"> through the Australian Charities</w:t>
      </w:r>
      <w:r w:rsidR="0067657E" w:rsidRPr="00A764FF">
        <w:rPr>
          <w:rFonts w:eastAsia="Times New Roman" w:cs="Times New Roman"/>
          <w:color w:val="000000"/>
          <w:shd w:val="clear" w:color="auto" w:fill="FFFFFF"/>
          <w:lang w:val="en-AU" w:eastAsia="en-US"/>
        </w:rPr>
        <w:t xml:space="preserve"> and Not for Profits Commission</w:t>
      </w:r>
      <w:r w:rsidR="00895F99" w:rsidRPr="00A764FF">
        <w:rPr>
          <w:rFonts w:eastAsia="Times New Roman" w:cs="Times New Roman"/>
          <w:color w:val="000000"/>
          <w:shd w:val="clear" w:color="auto" w:fill="FFFFFF"/>
          <w:lang w:val="en-AU" w:eastAsia="en-US"/>
        </w:rPr>
        <w:t xml:space="preserve"> (ACNC)</w:t>
      </w:r>
      <w:r w:rsidRPr="00A764FF">
        <w:rPr>
          <w:rFonts w:eastAsia="Times New Roman" w:cs="Times New Roman"/>
          <w:color w:val="000000"/>
          <w:shd w:val="clear" w:color="auto" w:fill="FFFFFF"/>
          <w:lang w:val="en-AU" w:eastAsia="en-US"/>
        </w:rPr>
        <w:t xml:space="preserve">. </w:t>
      </w:r>
      <w:r w:rsidR="00895F99" w:rsidRPr="00A764FF">
        <w:rPr>
          <w:rFonts w:eastAsia="Times New Roman" w:cs="Times New Roman"/>
          <w:color w:val="000000"/>
          <w:shd w:val="clear" w:color="auto" w:fill="FFFFFF"/>
          <w:lang w:val="en-AU" w:eastAsia="en-US"/>
        </w:rPr>
        <w:t>The Friends are already registered as a charity with the ACNC</w:t>
      </w:r>
      <w:r w:rsidR="00FE26D4" w:rsidRPr="00A764FF">
        <w:rPr>
          <w:rFonts w:eastAsia="Times New Roman" w:cs="Times New Roman"/>
          <w:color w:val="000000"/>
          <w:shd w:val="clear" w:color="auto" w:fill="FFFFFF"/>
          <w:lang w:val="en-AU" w:eastAsia="en-US"/>
        </w:rPr>
        <w:t>.</w:t>
      </w:r>
      <w:r w:rsidR="005607B2" w:rsidRPr="00A764FF">
        <w:rPr>
          <w:rFonts w:eastAsia="Times New Roman" w:cs="Times New Roman"/>
          <w:color w:val="000000"/>
          <w:shd w:val="clear" w:color="auto" w:fill="FFFFFF"/>
          <w:lang w:val="en-AU" w:eastAsia="en-US"/>
        </w:rPr>
        <w:t xml:space="preserve"> </w:t>
      </w:r>
    </w:p>
    <w:p w14:paraId="4CDF8B0A" w14:textId="0BBD2465" w:rsidR="00895F99" w:rsidRPr="00A764FF" w:rsidRDefault="00895F99" w:rsidP="00895F99">
      <w:pPr>
        <w:rPr>
          <w:rFonts w:eastAsia="Times New Roman" w:cs="Times New Roman"/>
          <w:lang w:val="en-AU" w:eastAsia="en-US"/>
        </w:rPr>
      </w:pPr>
    </w:p>
    <w:p w14:paraId="5CB74528" w14:textId="4D06EFA0" w:rsidR="00894AA0" w:rsidRPr="00A764FF" w:rsidRDefault="009904A2" w:rsidP="009904A2">
      <w:pPr>
        <w:rPr>
          <w:lang w:val="en-AU"/>
        </w:rPr>
      </w:pPr>
      <w:r w:rsidRPr="00A764FF">
        <w:rPr>
          <w:lang w:val="en-AU"/>
        </w:rPr>
        <w:t xml:space="preserve">The </w:t>
      </w:r>
      <w:hyperlink r:id="rId8" w:history="1">
        <w:r w:rsidRPr="00A764FF">
          <w:rPr>
            <w:rStyle w:val="Hyperlink"/>
            <w:lang w:val="en-AU"/>
          </w:rPr>
          <w:t>Friends Constitution</w:t>
        </w:r>
      </w:hyperlink>
      <w:r w:rsidRPr="00A764FF">
        <w:rPr>
          <w:lang w:val="en-AU"/>
        </w:rPr>
        <w:t xml:space="preserve"> </w:t>
      </w:r>
      <w:r w:rsidR="00A06FFC" w:rsidRPr="00A764FF">
        <w:rPr>
          <w:lang w:val="en-AU"/>
        </w:rPr>
        <w:t xml:space="preserve">has not been reviewed since it was modified in </w:t>
      </w:r>
      <w:r w:rsidR="00EA3378" w:rsidRPr="00A764FF">
        <w:rPr>
          <w:lang w:val="en-AU"/>
        </w:rPr>
        <w:t xml:space="preserve">October </w:t>
      </w:r>
      <w:r w:rsidRPr="00A764FF">
        <w:rPr>
          <w:lang w:val="en-AU"/>
        </w:rPr>
        <w:t xml:space="preserve">2015 </w:t>
      </w:r>
      <w:r w:rsidR="00FE26D4" w:rsidRPr="00A764FF">
        <w:rPr>
          <w:rFonts w:eastAsia="Times New Roman" w:cs="Times New Roman"/>
          <w:color w:val="000000"/>
          <w:shd w:val="clear" w:color="auto" w:fill="FFFFFF"/>
          <w:lang w:val="en-AU" w:eastAsia="en-US"/>
        </w:rPr>
        <w:t xml:space="preserve">but a review has </w:t>
      </w:r>
      <w:r w:rsidR="00FE26D4" w:rsidRPr="00A764FF">
        <w:rPr>
          <w:lang w:val="en-AU"/>
        </w:rPr>
        <w:t xml:space="preserve">found some inconsistencies between it and current best practice as contained in relevant legislation and a template Constitution prepared by the ACNC.  </w:t>
      </w:r>
    </w:p>
    <w:p w14:paraId="54469740" w14:textId="77777777" w:rsidR="00894AA0" w:rsidRPr="00A764FF" w:rsidRDefault="00894AA0" w:rsidP="009904A2">
      <w:pPr>
        <w:rPr>
          <w:lang w:val="en-AU"/>
        </w:rPr>
      </w:pPr>
    </w:p>
    <w:p w14:paraId="4AB28D5D" w14:textId="7BA92C42" w:rsidR="009904A2" w:rsidRPr="00A764FF" w:rsidRDefault="009904A2" w:rsidP="009904A2">
      <w:pPr>
        <w:rPr>
          <w:lang w:val="en-AU"/>
        </w:rPr>
      </w:pPr>
      <w:r w:rsidRPr="00A764FF">
        <w:rPr>
          <w:lang w:val="en-AU"/>
        </w:rPr>
        <w:t xml:space="preserve">Clause 13.6 of the Constitution states that: “An amendment of this Constitution shall be made by resolution at an annual general meeting or special general meeting of the Friends by at least a three-quarters majority of voting members present at the meeting after members have been given at least twenty-one (21) </w:t>
      </w:r>
      <w:r w:rsidR="004C21E2" w:rsidRPr="00A764FF">
        <w:rPr>
          <w:lang w:val="en-AU"/>
        </w:rPr>
        <w:t>days’ notice</w:t>
      </w:r>
      <w:r w:rsidRPr="00A764FF">
        <w:rPr>
          <w:lang w:val="en-AU"/>
        </w:rPr>
        <w:t xml:space="preserve"> of the proposed amendment.”</w:t>
      </w:r>
    </w:p>
    <w:p w14:paraId="029E78FA" w14:textId="77777777" w:rsidR="009904A2" w:rsidRPr="00A764FF" w:rsidRDefault="009904A2" w:rsidP="00EE092F">
      <w:pPr>
        <w:rPr>
          <w:lang w:val="en-AU"/>
        </w:rPr>
      </w:pPr>
    </w:p>
    <w:p w14:paraId="4BA4108B" w14:textId="6FC834F0" w:rsidR="00437B51" w:rsidRPr="00A764FF" w:rsidRDefault="009904A2" w:rsidP="00EE092F">
      <w:pPr>
        <w:rPr>
          <w:lang w:val="en-AU"/>
        </w:rPr>
      </w:pPr>
      <w:r w:rsidRPr="00A764FF">
        <w:rPr>
          <w:lang w:val="en-AU"/>
        </w:rPr>
        <w:t>Council would welcome Members</w:t>
      </w:r>
      <w:r w:rsidR="0067657E" w:rsidRPr="00A764FF">
        <w:rPr>
          <w:lang w:val="en-AU"/>
        </w:rPr>
        <w:t>’</w:t>
      </w:r>
      <w:r w:rsidRPr="00A764FF">
        <w:rPr>
          <w:lang w:val="en-AU"/>
        </w:rPr>
        <w:t xml:space="preserve"> comm</w:t>
      </w:r>
      <w:r w:rsidR="00437B51" w:rsidRPr="00A764FF">
        <w:rPr>
          <w:lang w:val="en-AU"/>
        </w:rPr>
        <w:t>ents</w:t>
      </w:r>
      <w:r w:rsidRPr="00A764FF">
        <w:rPr>
          <w:lang w:val="en-AU"/>
        </w:rPr>
        <w:t xml:space="preserve"> on this discussion paper before resolutions are </w:t>
      </w:r>
      <w:r w:rsidR="00437B51" w:rsidRPr="00A764FF">
        <w:rPr>
          <w:lang w:val="en-AU"/>
        </w:rPr>
        <w:t xml:space="preserve">formalized and </w:t>
      </w:r>
      <w:r w:rsidRPr="00A764FF">
        <w:rPr>
          <w:lang w:val="en-AU"/>
        </w:rPr>
        <w:t xml:space="preserve">put before a general meeting </w:t>
      </w:r>
      <w:r w:rsidR="00ED6EF1" w:rsidRPr="00A764FF">
        <w:rPr>
          <w:lang w:val="en-AU"/>
        </w:rPr>
        <w:t>later this year</w:t>
      </w:r>
      <w:r w:rsidRPr="00A764FF">
        <w:rPr>
          <w:lang w:val="en-AU"/>
        </w:rPr>
        <w:t xml:space="preserve">.  </w:t>
      </w:r>
      <w:r w:rsidR="00ED6EF1" w:rsidRPr="00A764FF">
        <w:rPr>
          <w:lang w:val="en-AU"/>
        </w:rPr>
        <w:t>Comments on t</w:t>
      </w:r>
      <w:r w:rsidRPr="00A764FF">
        <w:rPr>
          <w:lang w:val="en-AU"/>
        </w:rPr>
        <w:t xml:space="preserve">his discussion should be </w:t>
      </w:r>
      <w:r w:rsidR="002E0358" w:rsidRPr="00A764FF">
        <w:rPr>
          <w:lang w:val="en-AU"/>
        </w:rPr>
        <w:t xml:space="preserve">sent </w:t>
      </w:r>
      <w:r w:rsidRPr="00A764FF">
        <w:rPr>
          <w:lang w:val="en-AU"/>
        </w:rPr>
        <w:t xml:space="preserve">to </w:t>
      </w:r>
      <w:hyperlink r:id="rId9" w:history="1">
        <w:r w:rsidR="00955FFE" w:rsidRPr="00A764FF">
          <w:rPr>
            <w:rStyle w:val="Hyperlink"/>
            <w:lang w:val="en-AU"/>
          </w:rPr>
          <w:t>ayliffelynden@gmail.com</w:t>
        </w:r>
      </w:hyperlink>
      <w:r w:rsidR="00955FFE" w:rsidRPr="00A764FF">
        <w:rPr>
          <w:b/>
          <w:i/>
          <w:lang w:val="en-AU"/>
        </w:rPr>
        <w:t xml:space="preserve"> </w:t>
      </w:r>
      <w:r w:rsidR="00437B51" w:rsidRPr="00A764FF">
        <w:rPr>
          <w:lang w:val="en-AU"/>
        </w:rPr>
        <w:t xml:space="preserve">by </w:t>
      </w:r>
      <w:r w:rsidR="00955FFE" w:rsidRPr="00A764FF">
        <w:rPr>
          <w:lang w:val="en-AU"/>
        </w:rPr>
        <w:t>30 April 2022</w:t>
      </w:r>
      <w:r w:rsidR="00437B51" w:rsidRPr="00A764FF">
        <w:rPr>
          <w:b/>
          <w:lang w:val="en-AU"/>
        </w:rPr>
        <w:t xml:space="preserve">. </w:t>
      </w:r>
      <w:r w:rsidR="00437B51" w:rsidRPr="00A764FF">
        <w:rPr>
          <w:lang w:val="en-AU"/>
        </w:rPr>
        <w:t xml:space="preserve"> </w:t>
      </w:r>
    </w:p>
    <w:p w14:paraId="6D0655AA" w14:textId="77777777" w:rsidR="00437B51" w:rsidRPr="00A764FF" w:rsidRDefault="00437B51" w:rsidP="00EE092F">
      <w:pPr>
        <w:rPr>
          <w:lang w:val="en-AU"/>
        </w:rPr>
      </w:pPr>
    </w:p>
    <w:p w14:paraId="2A71D5A9" w14:textId="74249D40" w:rsidR="00C06DB2" w:rsidRPr="00311DB1" w:rsidRDefault="00C06DB2">
      <w:pPr>
        <w:rPr>
          <w:rFonts w:ascii="Lucida Sans Unicode" w:hAnsi="Lucida Sans Unicode" w:cs="Lucida Sans Unicode"/>
          <w:b/>
          <w:bCs/>
          <w:sz w:val="28"/>
          <w:szCs w:val="28"/>
          <w:lang w:val="en-AU"/>
        </w:rPr>
      </w:pPr>
      <w:r w:rsidRPr="00311DB1">
        <w:rPr>
          <w:rFonts w:ascii="Lucida Sans Unicode" w:hAnsi="Lucida Sans Unicode" w:cs="Lucida Sans Unicode"/>
          <w:b/>
          <w:bCs/>
          <w:sz w:val="28"/>
          <w:szCs w:val="28"/>
          <w:lang w:val="en-AU"/>
        </w:rPr>
        <w:t>Issues</w:t>
      </w:r>
    </w:p>
    <w:p w14:paraId="66FF169C" w14:textId="77777777" w:rsidR="00C06DB2" w:rsidRPr="00A764FF" w:rsidRDefault="00C06DB2">
      <w:pPr>
        <w:rPr>
          <w:lang w:val="en-AU"/>
        </w:rPr>
      </w:pPr>
    </w:p>
    <w:p w14:paraId="355BED9D" w14:textId="59BADD4C" w:rsidR="00EE092F" w:rsidRPr="00A764FF" w:rsidRDefault="001F436D">
      <w:pPr>
        <w:rPr>
          <w:b/>
          <w:bCs/>
          <w:sz w:val="28"/>
          <w:szCs w:val="28"/>
          <w:lang w:val="en-AU"/>
        </w:rPr>
      </w:pPr>
      <w:r w:rsidRPr="00A764FF">
        <w:rPr>
          <w:b/>
          <w:bCs/>
          <w:sz w:val="28"/>
          <w:szCs w:val="28"/>
          <w:lang w:val="en-AU"/>
        </w:rPr>
        <w:t>1.</w:t>
      </w:r>
      <w:r w:rsidR="00484B58" w:rsidRPr="00A764FF">
        <w:rPr>
          <w:b/>
          <w:bCs/>
          <w:sz w:val="28"/>
          <w:szCs w:val="28"/>
          <w:lang w:val="en-AU"/>
        </w:rPr>
        <w:t xml:space="preserve">  C</w:t>
      </w:r>
      <w:r w:rsidR="00BE0E68" w:rsidRPr="00A764FF">
        <w:rPr>
          <w:b/>
          <w:bCs/>
          <w:sz w:val="28"/>
          <w:szCs w:val="28"/>
          <w:lang w:val="en-AU"/>
        </w:rPr>
        <w:t xml:space="preserve">larifying </w:t>
      </w:r>
      <w:r w:rsidR="009C08C7" w:rsidRPr="00A764FF">
        <w:rPr>
          <w:b/>
          <w:bCs/>
          <w:sz w:val="28"/>
          <w:szCs w:val="28"/>
          <w:lang w:val="en-AU"/>
        </w:rPr>
        <w:t>definitions</w:t>
      </w:r>
      <w:r w:rsidR="00D4519C" w:rsidRPr="00A764FF">
        <w:rPr>
          <w:b/>
          <w:bCs/>
          <w:sz w:val="28"/>
          <w:szCs w:val="28"/>
          <w:lang w:val="en-AU"/>
        </w:rPr>
        <w:t>, refining language</w:t>
      </w:r>
      <w:r w:rsidR="009C08C7" w:rsidRPr="00A764FF">
        <w:rPr>
          <w:b/>
          <w:bCs/>
          <w:sz w:val="28"/>
          <w:szCs w:val="28"/>
          <w:lang w:val="en-AU"/>
        </w:rPr>
        <w:t xml:space="preserve"> and </w:t>
      </w:r>
      <w:r w:rsidR="00D4519C" w:rsidRPr="00A764FF">
        <w:rPr>
          <w:b/>
          <w:bCs/>
          <w:sz w:val="28"/>
          <w:szCs w:val="28"/>
          <w:lang w:val="en-AU"/>
        </w:rPr>
        <w:t xml:space="preserve">bringing the Constitution in line with </w:t>
      </w:r>
      <w:r w:rsidR="00D26498" w:rsidRPr="00A764FF">
        <w:rPr>
          <w:b/>
          <w:bCs/>
          <w:sz w:val="28"/>
          <w:szCs w:val="28"/>
          <w:lang w:val="en-AU"/>
        </w:rPr>
        <w:t>legislative requirement</w:t>
      </w:r>
      <w:r w:rsidR="00D4519C" w:rsidRPr="00A764FF">
        <w:rPr>
          <w:b/>
          <w:bCs/>
          <w:sz w:val="28"/>
          <w:szCs w:val="28"/>
          <w:lang w:val="en-AU"/>
        </w:rPr>
        <w:t>s</w:t>
      </w:r>
      <w:r w:rsidR="00D26498" w:rsidRPr="00A764FF">
        <w:rPr>
          <w:b/>
          <w:bCs/>
          <w:sz w:val="28"/>
          <w:szCs w:val="28"/>
          <w:lang w:val="en-AU"/>
        </w:rPr>
        <w:t xml:space="preserve"> </w:t>
      </w:r>
    </w:p>
    <w:p w14:paraId="60AC7879" w14:textId="3F991029" w:rsidR="00E23FAD" w:rsidRPr="00A764FF" w:rsidRDefault="00E23FAD">
      <w:pPr>
        <w:rPr>
          <w:sz w:val="28"/>
          <w:szCs w:val="28"/>
          <w:u w:val="single"/>
          <w:lang w:val="en-AU"/>
        </w:rPr>
      </w:pPr>
    </w:p>
    <w:p w14:paraId="1B9F69C7" w14:textId="364C01C2" w:rsidR="004C6BB1" w:rsidRPr="00A764FF" w:rsidRDefault="001F436D" w:rsidP="00F73713">
      <w:pPr>
        <w:rPr>
          <w:b/>
          <w:bCs/>
          <w:i/>
          <w:iCs/>
          <w:lang w:val="en-AU"/>
        </w:rPr>
      </w:pPr>
      <w:r w:rsidRPr="00A764FF">
        <w:rPr>
          <w:b/>
          <w:bCs/>
          <w:lang w:val="en-AU"/>
        </w:rPr>
        <w:t>(a)</w:t>
      </w:r>
      <w:r w:rsidR="005B3FE8" w:rsidRPr="00A764FF">
        <w:rPr>
          <w:lang w:val="en-AU"/>
        </w:rPr>
        <w:t xml:space="preserve"> </w:t>
      </w:r>
      <w:r w:rsidR="00A7268A" w:rsidRPr="00A764FF">
        <w:rPr>
          <w:b/>
          <w:bCs/>
          <w:iCs/>
          <w:lang w:val="en-AU"/>
        </w:rPr>
        <w:t>Clause 1.2.1.</w:t>
      </w:r>
      <w:r w:rsidR="007F5835" w:rsidRPr="00A764FF">
        <w:rPr>
          <w:b/>
          <w:bCs/>
          <w:iCs/>
          <w:lang w:val="en-AU"/>
        </w:rPr>
        <w:t xml:space="preserve"> </w:t>
      </w:r>
      <w:r w:rsidR="00A7268A" w:rsidRPr="00A764FF">
        <w:rPr>
          <w:b/>
          <w:bCs/>
          <w:iCs/>
          <w:lang w:val="en-AU"/>
        </w:rPr>
        <w:t>Definiti</w:t>
      </w:r>
      <w:r w:rsidR="002E431A" w:rsidRPr="00A764FF">
        <w:rPr>
          <w:b/>
          <w:bCs/>
          <w:iCs/>
          <w:lang w:val="en-AU"/>
        </w:rPr>
        <w:t>o</w:t>
      </w:r>
      <w:r w:rsidR="00A7268A" w:rsidRPr="00A764FF">
        <w:rPr>
          <w:b/>
          <w:bCs/>
          <w:iCs/>
          <w:lang w:val="en-AU"/>
        </w:rPr>
        <w:t>n of Common Seal and Clause 13.2 Common Seal</w:t>
      </w:r>
    </w:p>
    <w:p w14:paraId="09363296" w14:textId="77777777" w:rsidR="004C6BB1" w:rsidRPr="00A764FF" w:rsidRDefault="004C6BB1" w:rsidP="00F73713">
      <w:pPr>
        <w:rPr>
          <w:lang w:val="en-AU"/>
        </w:rPr>
      </w:pPr>
    </w:p>
    <w:p w14:paraId="15C4FE9E" w14:textId="11BF6615" w:rsidR="00A7268A" w:rsidRPr="00A764FF" w:rsidRDefault="00894AA0" w:rsidP="00F73713">
      <w:pPr>
        <w:rPr>
          <w:u w:val="single"/>
          <w:lang w:val="en-AU"/>
        </w:rPr>
      </w:pPr>
      <w:r w:rsidRPr="00A764FF">
        <w:rPr>
          <w:lang w:val="en-AU"/>
        </w:rPr>
        <w:t xml:space="preserve">Section 22 of the </w:t>
      </w:r>
      <w:r w:rsidRPr="00A764FF">
        <w:rPr>
          <w:i/>
          <w:iCs/>
          <w:lang w:val="en-AU"/>
        </w:rPr>
        <w:t>Associations Incorporation Act 1991</w:t>
      </w:r>
      <w:r w:rsidRPr="00A764FF">
        <w:rPr>
          <w:lang w:val="en-AU"/>
        </w:rPr>
        <w:t xml:space="preserve"> has recently been amended to provide that an incorporated association “may have a common seal</w:t>
      </w:r>
      <w:r w:rsidR="00E91347" w:rsidRPr="00A764FF">
        <w:rPr>
          <w:lang w:val="en-AU"/>
        </w:rPr>
        <w:t>”</w:t>
      </w:r>
      <w:r w:rsidRPr="00A764FF">
        <w:rPr>
          <w:lang w:val="en-AU"/>
        </w:rPr>
        <w:t xml:space="preserve">. </w:t>
      </w:r>
      <w:r w:rsidR="00E91347" w:rsidRPr="00A764FF">
        <w:rPr>
          <w:lang w:val="en-AU"/>
        </w:rPr>
        <w:t>As t</w:t>
      </w:r>
      <w:r w:rsidR="00A7268A" w:rsidRPr="00A764FF">
        <w:rPr>
          <w:lang w:val="en-AU"/>
        </w:rPr>
        <w:t xml:space="preserve">here is no longer a requirement under law to </w:t>
      </w:r>
      <w:r w:rsidR="00E91347" w:rsidRPr="00A764FF">
        <w:rPr>
          <w:lang w:val="en-AU"/>
        </w:rPr>
        <w:t xml:space="preserve">have and </w:t>
      </w:r>
      <w:r w:rsidR="00A7268A" w:rsidRPr="00A764FF">
        <w:rPr>
          <w:lang w:val="en-AU"/>
        </w:rPr>
        <w:t>use a Common Seal on documents</w:t>
      </w:r>
      <w:r w:rsidR="00E91347" w:rsidRPr="00A764FF">
        <w:rPr>
          <w:lang w:val="en-AU"/>
        </w:rPr>
        <w:t>, and in practice the Friends have rarely used the Common Seal, i</w:t>
      </w:r>
      <w:r w:rsidR="00A7268A" w:rsidRPr="00A764FF">
        <w:rPr>
          <w:lang w:val="en-AU"/>
        </w:rPr>
        <w:t xml:space="preserve">t is recommended that this definition and subsequent clause </w:t>
      </w:r>
      <w:r w:rsidR="00E91347" w:rsidRPr="00A764FF">
        <w:rPr>
          <w:lang w:val="en-AU"/>
        </w:rPr>
        <w:t xml:space="preserve">relating to the Common Seal </w:t>
      </w:r>
      <w:r w:rsidR="00A7268A" w:rsidRPr="00A764FF">
        <w:rPr>
          <w:lang w:val="en-AU"/>
        </w:rPr>
        <w:t xml:space="preserve">be </w:t>
      </w:r>
      <w:r w:rsidR="00A7268A" w:rsidRPr="00311DB1">
        <w:rPr>
          <w:i/>
          <w:iCs/>
          <w:lang w:val="en-AU"/>
        </w:rPr>
        <w:t>deleted</w:t>
      </w:r>
      <w:r w:rsidR="00A7268A" w:rsidRPr="00311DB1">
        <w:rPr>
          <w:b/>
          <w:lang w:val="en-AU"/>
        </w:rPr>
        <w:t>.</w:t>
      </w:r>
    </w:p>
    <w:p w14:paraId="1CEF30ED" w14:textId="77777777" w:rsidR="000D2B49" w:rsidRPr="00A764FF" w:rsidRDefault="000D2B49" w:rsidP="00F73713">
      <w:pPr>
        <w:rPr>
          <w:b/>
          <w:bCs/>
          <w:i/>
          <w:iCs/>
          <w:lang w:val="en-AU"/>
        </w:rPr>
      </w:pPr>
    </w:p>
    <w:p w14:paraId="7F3F5ABD" w14:textId="35DD8B16" w:rsidR="004C6BB1" w:rsidRPr="00A764FF" w:rsidRDefault="000D2B49" w:rsidP="00766E69">
      <w:pPr>
        <w:rPr>
          <w:lang w:val="en-AU"/>
        </w:rPr>
      </w:pPr>
      <w:r w:rsidRPr="00A764FF">
        <w:rPr>
          <w:b/>
          <w:lang w:val="en-AU"/>
        </w:rPr>
        <w:t>(b)</w:t>
      </w:r>
      <w:r w:rsidRPr="00A764FF">
        <w:rPr>
          <w:lang w:val="en-AU"/>
        </w:rPr>
        <w:t xml:space="preserve"> </w:t>
      </w:r>
      <w:r w:rsidR="00766E69" w:rsidRPr="00A764FF">
        <w:rPr>
          <w:b/>
          <w:lang w:val="en-AU"/>
        </w:rPr>
        <w:t>Clause 1.2.1 Definition</w:t>
      </w:r>
      <w:r w:rsidR="00766E69" w:rsidRPr="00A764FF">
        <w:rPr>
          <w:lang w:val="en-AU"/>
        </w:rPr>
        <w:t xml:space="preserve"> </w:t>
      </w:r>
      <w:r w:rsidR="004C6BB1" w:rsidRPr="00A764FF">
        <w:rPr>
          <w:b/>
          <w:lang w:val="en-AU"/>
        </w:rPr>
        <w:t>of a Member</w:t>
      </w:r>
    </w:p>
    <w:p w14:paraId="6CB8049F" w14:textId="77777777" w:rsidR="004C6BB1" w:rsidRPr="00A764FF" w:rsidRDefault="004C6BB1" w:rsidP="00766E69">
      <w:pPr>
        <w:rPr>
          <w:lang w:val="en-AU"/>
        </w:rPr>
      </w:pPr>
    </w:p>
    <w:p w14:paraId="3D05B8DF" w14:textId="28B68BA1" w:rsidR="00766E69" w:rsidRPr="00A764FF" w:rsidRDefault="004C6BB1" w:rsidP="00766E69">
      <w:pPr>
        <w:rPr>
          <w:i/>
          <w:lang w:val="en-AU"/>
        </w:rPr>
      </w:pPr>
      <w:r w:rsidRPr="00A764FF">
        <w:rPr>
          <w:lang w:val="en-AU"/>
        </w:rPr>
        <w:t xml:space="preserve">This clause </w:t>
      </w:r>
      <w:r w:rsidR="00766E69" w:rsidRPr="00A764FF">
        <w:rPr>
          <w:lang w:val="en-AU"/>
        </w:rPr>
        <w:t xml:space="preserve">defines a </w:t>
      </w:r>
      <w:r w:rsidR="00766E69" w:rsidRPr="00A764FF">
        <w:rPr>
          <w:b/>
          <w:lang w:val="en-AU"/>
        </w:rPr>
        <w:t xml:space="preserve">member </w:t>
      </w:r>
      <w:r w:rsidR="00766E69" w:rsidRPr="00A764FF">
        <w:rPr>
          <w:lang w:val="en-AU"/>
        </w:rPr>
        <w:t xml:space="preserve">as </w:t>
      </w:r>
      <w:r w:rsidR="00766E69" w:rsidRPr="00A764FF">
        <w:rPr>
          <w:i/>
          <w:lang w:val="en-AU"/>
        </w:rPr>
        <w:t>a member, however described, of the Friends.</w:t>
      </w:r>
      <w:r w:rsidR="00766E69" w:rsidRPr="00A764FF">
        <w:rPr>
          <w:lang w:val="en-AU"/>
        </w:rPr>
        <w:t xml:space="preserve"> Clause 5.2 Eligibility for Membership clearly states </w:t>
      </w:r>
      <w:r w:rsidR="00766E69" w:rsidRPr="00A764FF">
        <w:rPr>
          <w:i/>
          <w:lang w:val="en-AU"/>
        </w:rPr>
        <w:t xml:space="preserve">any person, group or </w:t>
      </w:r>
      <w:r w:rsidR="00F65192" w:rsidRPr="00A764FF">
        <w:rPr>
          <w:i/>
          <w:lang w:val="en-AU"/>
        </w:rPr>
        <w:t>organi</w:t>
      </w:r>
      <w:r w:rsidR="00E91347" w:rsidRPr="00A764FF">
        <w:rPr>
          <w:i/>
          <w:lang w:val="en-AU"/>
        </w:rPr>
        <w:t>s</w:t>
      </w:r>
      <w:r w:rsidR="00F65192" w:rsidRPr="00A764FF">
        <w:rPr>
          <w:i/>
          <w:lang w:val="en-AU"/>
        </w:rPr>
        <w:t>ation that</w:t>
      </w:r>
      <w:r w:rsidR="00766E69" w:rsidRPr="00A764FF">
        <w:rPr>
          <w:i/>
          <w:lang w:val="en-AU"/>
        </w:rPr>
        <w:t xml:space="preserve"> is committed to and supports the purposes and objectives of the Friends shall be eligible for </w:t>
      </w:r>
      <w:r w:rsidR="00F65192" w:rsidRPr="00A764FF">
        <w:rPr>
          <w:i/>
          <w:lang w:val="en-AU"/>
        </w:rPr>
        <w:t>membership</w:t>
      </w:r>
      <w:r w:rsidR="00F65192" w:rsidRPr="00A764FF">
        <w:rPr>
          <w:lang w:val="en-AU"/>
        </w:rPr>
        <w:t xml:space="preserve">. </w:t>
      </w:r>
      <w:r w:rsidR="00766E69" w:rsidRPr="00A764FF">
        <w:rPr>
          <w:lang w:val="en-AU"/>
        </w:rPr>
        <w:t xml:space="preserve">Clause 5.3.1 specifies that the membership categories are </w:t>
      </w:r>
      <w:r w:rsidR="00766E69" w:rsidRPr="00A764FF">
        <w:rPr>
          <w:i/>
          <w:lang w:val="en-AU"/>
        </w:rPr>
        <w:t>Individuals, Households (which means persons residing at the same address) and Botanical Interest Groups and other Organisations.</w:t>
      </w:r>
    </w:p>
    <w:p w14:paraId="2F0858A2" w14:textId="77777777" w:rsidR="00766E69" w:rsidRPr="00A764FF" w:rsidRDefault="00766E69" w:rsidP="00F73713">
      <w:pPr>
        <w:rPr>
          <w:b/>
          <w:bCs/>
          <w:lang w:val="en-AU"/>
        </w:rPr>
      </w:pPr>
    </w:p>
    <w:p w14:paraId="5CE74758" w14:textId="7AEE1DA5" w:rsidR="00847834" w:rsidRPr="00A764FF" w:rsidRDefault="00766E69" w:rsidP="00F73713">
      <w:pPr>
        <w:rPr>
          <w:bCs/>
          <w:lang w:val="en-AU"/>
        </w:rPr>
      </w:pPr>
      <w:r w:rsidRPr="00A764FF">
        <w:rPr>
          <w:bCs/>
          <w:lang w:val="en-AU"/>
        </w:rPr>
        <w:t>Throughout the Cons</w:t>
      </w:r>
      <w:r w:rsidR="00BE5E63" w:rsidRPr="00A764FF">
        <w:rPr>
          <w:bCs/>
          <w:lang w:val="en-AU"/>
        </w:rPr>
        <w:t>t</w:t>
      </w:r>
      <w:r w:rsidRPr="00A764FF">
        <w:rPr>
          <w:bCs/>
          <w:lang w:val="en-AU"/>
        </w:rPr>
        <w:t xml:space="preserve">itution, there </w:t>
      </w:r>
      <w:r w:rsidR="000D2B49" w:rsidRPr="00A764FF">
        <w:rPr>
          <w:bCs/>
          <w:lang w:val="en-AU"/>
        </w:rPr>
        <w:t>are refer</w:t>
      </w:r>
      <w:r w:rsidRPr="00A764FF">
        <w:rPr>
          <w:bCs/>
          <w:lang w:val="en-AU"/>
        </w:rPr>
        <w:t xml:space="preserve">ences </w:t>
      </w:r>
      <w:r w:rsidR="000D2B49" w:rsidRPr="00A764FF">
        <w:rPr>
          <w:bCs/>
          <w:lang w:val="en-AU"/>
        </w:rPr>
        <w:t xml:space="preserve">to </w:t>
      </w:r>
      <w:r w:rsidR="00847834" w:rsidRPr="00A764FF">
        <w:rPr>
          <w:b/>
          <w:bCs/>
          <w:lang w:val="en-AU"/>
        </w:rPr>
        <w:t>members</w:t>
      </w:r>
      <w:r w:rsidR="00847834" w:rsidRPr="00A764FF">
        <w:rPr>
          <w:bCs/>
          <w:lang w:val="en-AU"/>
        </w:rPr>
        <w:t xml:space="preserve"> </w:t>
      </w:r>
      <w:r w:rsidR="000D2B49" w:rsidRPr="00A764FF">
        <w:rPr>
          <w:bCs/>
          <w:lang w:val="en-AU"/>
        </w:rPr>
        <w:t xml:space="preserve">as members, life members, complimentary members, voting members and financial </w:t>
      </w:r>
      <w:r w:rsidR="00EE18EE" w:rsidRPr="00A764FF">
        <w:rPr>
          <w:bCs/>
          <w:lang w:val="en-AU"/>
        </w:rPr>
        <w:t xml:space="preserve">voting </w:t>
      </w:r>
      <w:r w:rsidR="000D2B49" w:rsidRPr="00A764FF">
        <w:rPr>
          <w:bCs/>
          <w:lang w:val="en-AU"/>
        </w:rPr>
        <w:t>members. There are also reference</w:t>
      </w:r>
      <w:r w:rsidRPr="00A764FF">
        <w:rPr>
          <w:bCs/>
          <w:lang w:val="en-AU"/>
        </w:rPr>
        <w:t>s</w:t>
      </w:r>
      <w:r w:rsidR="000D2B49" w:rsidRPr="00A764FF">
        <w:rPr>
          <w:bCs/>
          <w:lang w:val="en-AU"/>
        </w:rPr>
        <w:t xml:space="preserve"> to </w:t>
      </w:r>
      <w:r w:rsidR="000D2B49" w:rsidRPr="00A764FF">
        <w:rPr>
          <w:b/>
          <w:bCs/>
          <w:lang w:val="en-AU"/>
        </w:rPr>
        <w:t>memberships</w:t>
      </w:r>
      <w:r w:rsidR="000D2B49" w:rsidRPr="00A764FF">
        <w:rPr>
          <w:bCs/>
          <w:lang w:val="en-AU"/>
        </w:rPr>
        <w:t xml:space="preserve"> that include multiple</w:t>
      </w:r>
      <w:r w:rsidR="00EE18EE" w:rsidRPr="00A764FF">
        <w:rPr>
          <w:bCs/>
          <w:lang w:val="en-AU"/>
        </w:rPr>
        <w:t xml:space="preserve"> members (H</w:t>
      </w:r>
      <w:r w:rsidR="000D2B49" w:rsidRPr="00A764FF">
        <w:rPr>
          <w:bCs/>
          <w:lang w:val="en-AU"/>
        </w:rPr>
        <w:t>ousehold members, Botanical Interest Group and Organisational Members</w:t>
      </w:r>
      <w:r w:rsidR="00A80C44" w:rsidRPr="00A764FF">
        <w:rPr>
          <w:bCs/>
          <w:lang w:val="en-AU"/>
        </w:rPr>
        <w:t>)</w:t>
      </w:r>
      <w:r w:rsidR="00E9092E" w:rsidRPr="00A764FF">
        <w:rPr>
          <w:bCs/>
          <w:lang w:val="en-AU"/>
        </w:rPr>
        <w:t>.</w:t>
      </w:r>
    </w:p>
    <w:p w14:paraId="7E48D4B7" w14:textId="77777777" w:rsidR="00847834" w:rsidRPr="00A764FF" w:rsidRDefault="00847834" w:rsidP="00F73713">
      <w:pPr>
        <w:rPr>
          <w:bCs/>
          <w:lang w:val="en-AU"/>
        </w:rPr>
      </w:pPr>
    </w:p>
    <w:p w14:paraId="703C5A00" w14:textId="2FA8EAEA" w:rsidR="000D2B49" w:rsidRPr="00A764FF" w:rsidRDefault="000D2B49" w:rsidP="00F73713">
      <w:pPr>
        <w:rPr>
          <w:lang w:val="en-AU"/>
        </w:rPr>
      </w:pPr>
      <w:r w:rsidRPr="00A764FF">
        <w:rPr>
          <w:bCs/>
          <w:lang w:val="en-AU"/>
        </w:rPr>
        <w:t xml:space="preserve">Some terms are defined </w:t>
      </w:r>
      <w:r w:rsidR="00EE18EE" w:rsidRPr="00A764FF">
        <w:rPr>
          <w:bCs/>
          <w:lang w:val="en-AU"/>
        </w:rPr>
        <w:t xml:space="preserve">(member, voting member) </w:t>
      </w:r>
      <w:r w:rsidRPr="00A764FF">
        <w:rPr>
          <w:bCs/>
          <w:lang w:val="en-AU"/>
        </w:rPr>
        <w:t>while others are not</w:t>
      </w:r>
      <w:r w:rsidR="00EE18EE" w:rsidRPr="00A764FF">
        <w:rPr>
          <w:bCs/>
          <w:lang w:val="en-AU"/>
        </w:rPr>
        <w:t xml:space="preserve"> (financial member)</w:t>
      </w:r>
      <w:r w:rsidRPr="00A764FF">
        <w:rPr>
          <w:bCs/>
          <w:lang w:val="en-AU"/>
        </w:rPr>
        <w:t>.</w:t>
      </w:r>
    </w:p>
    <w:p w14:paraId="2D15EF81" w14:textId="77777777" w:rsidR="000D2B49" w:rsidRPr="00A764FF" w:rsidRDefault="000D2B49" w:rsidP="00F73713">
      <w:pPr>
        <w:rPr>
          <w:lang w:val="en-AU"/>
        </w:rPr>
      </w:pPr>
    </w:p>
    <w:p w14:paraId="3D920620" w14:textId="375BDE9C" w:rsidR="000D2B49" w:rsidRPr="00A764FF" w:rsidRDefault="000D2B49" w:rsidP="00F73713">
      <w:pPr>
        <w:rPr>
          <w:lang w:val="en-AU"/>
        </w:rPr>
      </w:pPr>
      <w:r w:rsidRPr="00A764FF">
        <w:rPr>
          <w:lang w:val="en-AU"/>
        </w:rPr>
        <w:t xml:space="preserve">An issue arises when considering rights </w:t>
      </w:r>
      <w:r w:rsidR="00EE18EE" w:rsidRPr="00A764FF">
        <w:rPr>
          <w:lang w:val="en-AU"/>
        </w:rPr>
        <w:t xml:space="preserve">(to nominate for Council and vote) </w:t>
      </w:r>
      <w:r w:rsidRPr="00A764FF">
        <w:rPr>
          <w:lang w:val="en-AU"/>
        </w:rPr>
        <w:t>and benefits</w:t>
      </w:r>
      <w:r w:rsidR="00EE18EE" w:rsidRPr="00A764FF">
        <w:rPr>
          <w:lang w:val="en-AU"/>
        </w:rPr>
        <w:t xml:space="preserve"> (parking, </w:t>
      </w:r>
      <w:r w:rsidR="00EE18EE" w:rsidRPr="00A764FF">
        <w:rPr>
          <w:i/>
          <w:lang w:val="en-AU"/>
        </w:rPr>
        <w:t>Fronds</w:t>
      </w:r>
      <w:r w:rsidR="00EE18EE" w:rsidRPr="00A764FF">
        <w:rPr>
          <w:lang w:val="en-AU"/>
        </w:rPr>
        <w:t>, E newsletter, discounts)</w:t>
      </w:r>
      <w:r w:rsidRPr="00A764FF">
        <w:rPr>
          <w:lang w:val="en-AU"/>
        </w:rPr>
        <w:t xml:space="preserve">. </w:t>
      </w:r>
      <w:r w:rsidR="00766E69" w:rsidRPr="00A764FF">
        <w:rPr>
          <w:lang w:val="en-AU"/>
        </w:rPr>
        <w:t>I</w:t>
      </w:r>
      <w:r w:rsidR="00EE18EE" w:rsidRPr="00A764FF">
        <w:rPr>
          <w:lang w:val="en-AU"/>
        </w:rPr>
        <w:t xml:space="preserve">ndividual members that are financial are entitled to all </w:t>
      </w:r>
      <w:r w:rsidR="00766E69" w:rsidRPr="00A764FF">
        <w:rPr>
          <w:lang w:val="en-AU"/>
        </w:rPr>
        <w:t xml:space="preserve">rights and benefits.  However, </w:t>
      </w:r>
      <w:r w:rsidR="00EE18EE" w:rsidRPr="00A764FF">
        <w:rPr>
          <w:lang w:val="en-AU"/>
        </w:rPr>
        <w:t>Household, Group and Organi</w:t>
      </w:r>
      <w:r w:rsidR="00E9092E" w:rsidRPr="00A764FF">
        <w:rPr>
          <w:lang w:val="en-AU"/>
        </w:rPr>
        <w:t>s</w:t>
      </w:r>
      <w:r w:rsidR="00EE18EE" w:rsidRPr="00A764FF">
        <w:rPr>
          <w:lang w:val="en-AU"/>
        </w:rPr>
        <w:t>ational members receive a mix</w:t>
      </w:r>
      <w:r w:rsidR="00193A69" w:rsidRPr="00A764FF">
        <w:rPr>
          <w:lang w:val="en-AU"/>
        </w:rPr>
        <w:t>.</w:t>
      </w:r>
      <w:r w:rsidR="00EE18EE" w:rsidRPr="00A764FF">
        <w:rPr>
          <w:lang w:val="en-AU"/>
        </w:rPr>
        <w:t xml:space="preserve"> Households, Groups, and Organisations receive up to 4 cards that allow discounts </w:t>
      </w:r>
      <w:r w:rsidR="00EE18EE" w:rsidRPr="00A764FF">
        <w:rPr>
          <w:b/>
          <w:lang w:val="en-AU"/>
        </w:rPr>
        <w:t>but only</w:t>
      </w:r>
      <w:r w:rsidR="00766E69" w:rsidRPr="00A764FF">
        <w:rPr>
          <w:lang w:val="en-AU"/>
        </w:rPr>
        <w:t xml:space="preserve"> two </w:t>
      </w:r>
      <w:r w:rsidR="00847834" w:rsidRPr="00A764FF">
        <w:rPr>
          <w:lang w:val="en-AU"/>
        </w:rPr>
        <w:t xml:space="preserve"> (Households) or three </w:t>
      </w:r>
      <w:r w:rsidR="00766E69" w:rsidRPr="00A764FF">
        <w:rPr>
          <w:lang w:val="en-AU"/>
        </w:rPr>
        <w:t>parking permits</w:t>
      </w:r>
      <w:r w:rsidR="00847834" w:rsidRPr="00A764FF">
        <w:rPr>
          <w:lang w:val="en-AU"/>
        </w:rPr>
        <w:t xml:space="preserve"> (Groups and Organisations)</w:t>
      </w:r>
      <w:r w:rsidR="00766E69" w:rsidRPr="00A764FF">
        <w:rPr>
          <w:lang w:val="en-AU"/>
        </w:rPr>
        <w:t xml:space="preserve"> and two</w:t>
      </w:r>
      <w:r w:rsidR="00EE18EE" w:rsidRPr="00A764FF">
        <w:rPr>
          <w:lang w:val="en-AU"/>
        </w:rPr>
        <w:t xml:space="preserve"> votes. Life members receive all rights a</w:t>
      </w:r>
      <w:r w:rsidR="00765AFC" w:rsidRPr="00A764FF">
        <w:rPr>
          <w:lang w:val="en-AU"/>
        </w:rPr>
        <w:t>n</w:t>
      </w:r>
      <w:r w:rsidR="00EE18EE" w:rsidRPr="00A764FF">
        <w:rPr>
          <w:lang w:val="en-AU"/>
        </w:rPr>
        <w:t xml:space="preserve">d benefits and are deemed financial members. Complimentary members receive benefits for a year but not the right to nominate for Council </w:t>
      </w:r>
      <w:r w:rsidR="00765AFC" w:rsidRPr="00A764FF">
        <w:rPr>
          <w:lang w:val="en-AU"/>
        </w:rPr>
        <w:t xml:space="preserve">or </w:t>
      </w:r>
      <w:r w:rsidR="00EE18EE" w:rsidRPr="00A764FF">
        <w:rPr>
          <w:lang w:val="en-AU"/>
        </w:rPr>
        <w:t>vote.</w:t>
      </w:r>
    </w:p>
    <w:p w14:paraId="461B9063" w14:textId="77777777" w:rsidR="009C4A06" w:rsidRPr="00A764FF" w:rsidRDefault="009C4A06" w:rsidP="00F73713">
      <w:pPr>
        <w:rPr>
          <w:lang w:val="en-AU"/>
        </w:rPr>
      </w:pPr>
    </w:p>
    <w:p w14:paraId="2A7F068D" w14:textId="4DB4564B" w:rsidR="009C4A06" w:rsidRPr="00A764FF" w:rsidRDefault="009C4A06" w:rsidP="00F73713">
      <w:pPr>
        <w:rPr>
          <w:lang w:val="en-AU"/>
        </w:rPr>
      </w:pPr>
      <w:r w:rsidRPr="00A764FF">
        <w:rPr>
          <w:lang w:val="en-AU"/>
        </w:rPr>
        <w:t xml:space="preserve">This can be further confused by </w:t>
      </w:r>
      <w:r w:rsidR="002D5E07" w:rsidRPr="00A764FF">
        <w:rPr>
          <w:lang w:val="en-AU"/>
        </w:rPr>
        <w:t xml:space="preserve">members  within </w:t>
      </w:r>
      <w:r w:rsidRPr="00A764FF">
        <w:rPr>
          <w:lang w:val="en-AU"/>
        </w:rPr>
        <w:t>Household, Group and Organisational Members</w:t>
      </w:r>
      <w:r w:rsidR="002D5E07" w:rsidRPr="00A764FF">
        <w:rPr>
          <w:lang w:val="en-AU"/>
        </w:rPr>
        <w:t xml:space="preserve">hips </w:t>
      </w:r>
      <w:r w:rsidRPr="00A764FF">
        <w:rPr>
          <w:lang w:val="en-AU"/>
        </w:rPr>
        <w:t xml:space="preserve"> having the same </w:t>
      </w:r>
      <w:r w:rsidR="00180AF4" w:rsidRPr="00A764FF">
        <w:rPr>
          <w:lang w:val="en-AU"/>
        </w:rPr>
        <w:t xml:space="preserve">membership </w:t>
      </w:r>
      <w:r w:rsidRPr="00A764FF">
        <w:rPr>
          <w:lang w:val="en-AU"/>
        </w:rPr>
        <w:t xml:space="preserve">number. </w:t>
      </w:r>
      <w:r w:rsidR="00766E69" w:rsidRPr="00A764FF">
        <w:rPr>
          <w:lang w:val="en-AU"/>
        </w:rPr>
        <w:t xml:space="preserve">This can include up to four </w:t>
      </w:r>
      <w:r w:rsidR="00F65192" w:rsidRPr="00A764FF">
        <w:rPr>
          <w:lang w:val="en-AU"/>
        </w:rPr>
        <w:t>people.</w:t>
      </w:r>
      <w:r w:rsidR="00766E69" w:rsidRPr="00A764FF">
        <w:rPr>
          <w:lang w:val="en-AU"/>
        </w:rPr>
        <w:t xml:space="preserve"> </w:t>
      </w:r>
      <w:r w:rsidR="00BE5E63" w:rsidRPr="00A764FF">
        <w:rPr>
          <w:lang w:val="en-AU"/>
        </w:rPr>
        <w:t>As only two</w:t>
      </w:r>
      <w:r w:rsidRPr="00A764FF">
        <w:rPr>
          <w:lang w:val="en-AU"/>
        </w:rPr>
        <w:t xml:space="preserve"> persons in these groups can vote, it is suggested that the first two </w:t>
      </w:r>
      <w:r w:rsidR="00302874" w:rsidRPr="00A764FF">
        <w:rPr>
          <w:lang w:val="en-AU"/>
        </w:rPr>
        <w:t xml:space="preserve">members </w:t>
      </w:r>
      <w:r w:rsidRPr="00A764FF">
        <w:rPr>
          <w:lang w:val="en-AU"/>
        </w:rPr>
        <w:t>of these</w:t>
      </w:r>
      <w:r w:rsidR="00766E69" w:rsidRPr="00A764FF">
        <w:rPr>
          <w:lang w:val="en-AU"/>
        </w:rPr>
        <w:t xml:space="preserve"> be nominated as eligible to </w:t>
      </w:r>
      <w:r w:rsidR="00BE5E63" w:rsidRPr="00A764FF">
        <w:rPr>
          <w:lang w:val="en-AU"/>
        </w:rPr>
        <w:t xml:space="preserve">vote so that their eligibility to vote can </w:t>
      </w:r>
      <w:r w:rsidR="00F65192" w:rsidRPr="00A764FF">
        <w:rPr>
          <w:lang w:val="en-AU"/>
        </w:rPr>
        <w:t xml:space="preserve">easily </w:t>
      </w:r>
      <w:r w:rsidR="00BE5E63" w:rsidRPr="00A764FF">
        <w:rPr>
          <w:lang w:val="en-AU"/>
        </w:rPr>
        <w:t xml:space="preserve">be confirmed at AGM or special </w:t>
      </w:r>
      <w:r w:rsidR="00302874" w:rsidRPr="00A764FF">
        <w:rPr>
          <w:lang w:val="en-AU"/>
        </w:rPr>
        <w:t xml:space="preserve">general </w:t>
      </w:r>
      <w:r w:rsidR="00BE5E63" w:rsidRPr="00A764FF">
        <w:rPr>
          <w:lang w:val="en-AU"/>
        </w:rPr>
        <w:t>meetings</w:t>
      </w:r>
      <w:r w:rsidR="00847834" w:rsidRPr="00A764FF">
        <w:rPr>
          <w:lang w:val="en-AU"/>
        </w:rPr>
        <w:t xml:space="preserve"> when voting occurs</w:t>
      </w:r>
      <w:r w:rsidR="00BE5E63" w:rsidRPr="00A764FF">
        <w:rPr>
          <w:lang w:val="en-AU"/>
        </w:rPr>
        <w:t>.</w:t>
      </w:r>
    </w:p>
    <w:p w14:paraId="5A93F2AD" w14:textId="77777777" w:rsidR="009C4A06" w:rsidRPr="00A764FF" w:rsidRDefault="009C4A06" w:rsidP="00F73713">
      <w:pPr>
        <w:rPr>
          <w:lang w:val="en-AU"/>
        </w:rPr>
      </w:pPr>
    </w:p>
    <w:p w14:paraId="10486D9E" w14:textId="12DF3386" w:rsidR="00BE5E63" w:rsidRPr="00A764FF" w:rsidRDefault="00916D49" w:rsidP="00EE18EE">
      <w:pPr>
        <w:rPr>
          <w:lang w:val="en-AU"/>
        </w:rPr>
      </w:pPr>
      <w:r w:rsidRPr="00A764FF">
        <w:rPr>
          <w:lang w:val="en-AU"/>
        </w:rPr>
        <w:t>To avoid confusion</w:t>
      </w:r>
      <w:r w:rsidR="0021166F" w:rsidRPr="00A764FF">
        <w:rPr>
          <w:lang w:val="en-AU"/>
        </w:rPr>
        <w:t>, it is</w:t>
      </w:r>
      <w:r w:rsidR="00EE18EE" w:rsidRPr="00A764FF">
        <w:rPr>
          <w:lang w:val="en-AU"/>
        </w:rPr>
        <w:t xml:space="preserve"> suggested that references to members be </w:t>
      </w:r>
      <w:r w:rsidR="00EE18EE" w:rsidRPr="00311DB1">
        <w:rPr>
          <w:i/>
          <w:iCs/>
          <w:lang w:val="en-AU"/>
        </w:rPr>
        <w:t>clarified</w:t>
      </w:r>
      <w:r w:rsidR="00EE18EE" w:rsidRPr="00A764FF">
        <w:rPr>
          <w:b/>
          <w:bCs/>
          <w:lang w:val="en-AU"/>
        </w:rPr>
        <w:t xml:space="preserve"> </w:t>
      </w:r>
      <w:r w:rsidR="00EE18EE" w:rsidRPr="00A764FF">
        <w:rPr>
          <w:lang w:val="en-AU"/>
        </w:rPr>
        <w:t>by:</w:t>
      </w:r>
    </w:p>
    <w:p w14:paraId="3B9F24D9" w14:textId="77777777" w:rsidR="00233CDB" w:rsidRPr="00A764FF" w:rsidRDefault="00233CDB" w:rsidP="00EE18EE">
      <w:pPr>
        <w:rPr>
          <w:lang w:val="en-AU"/>
        </w:rPr>
      </w:pPr>
    </w:p>
    <w:p w14:paraId="6E0DBB53" w14:textId="36815EEF" w:rsidR="005B3FE8" w:rsidRPr="00A764FF" w:rsidRDefault="00BE5E63" w:rsidP="00BE5E63">
      <w:pPr>
        <w:ind w:left="720"/>
        <w:rPr>
          <w:i/>
          <w:lang w:val="en-AU"/>
        </w:rPr>
      </w:pPr>
      <w:r w:rsidRPr="00A764FF">
        <w:rPr>
          <w:b/>
          <w:i/>
          <w:lang w:val="en-AU"/>
        </w:rPr>
        <w:t xml:space="preserve">Clause </w:t>
      </w:r>
      <w:r w:rsidR="0015023F" w:rsidRPr="00A764FF">
        <w:rPr>
          <w:b/>
          <w:i/>
          <w:lang w:val="en-AU"/>
        </w:rPr>
        <w:t xml:space="preserve">1.2.1 Definitions </w:t>
      </w:r>
    </w:p>
    <w:p w14:paraId="2705CFE0" w14:textId="77777777" w:rsidR="006E5267" w:rsidRPr="00A764FF" w:rsidRDefault="006E5267">
      <w:pPr>
        <w:rPr>
          <w:lang w:val="en-AU"/>
        </w:rPr>
      </w:pPr>
    </w:p>
    <w:p w14:paraId="672EEB35" w14:textId="6AD3BF3D" w:rsidR="00795D22" w:rsidRPr="00A764FF" w:rsidRDefault="009C4A06" w:rsidP="006E5267">
      <w:pPr>
        <w:tabs>
          <w:tab w:val="left" w:pos="720"/>
        </w:tabs>
        <w:ind w:left="720"/>
        <w:rPr>
          <w:b/>
          <w:i/>
          <w:iCs/>
          <w:lang w:val="en-AU"/>
        </w:rPr>
      </w:pPr>
      <w:r w:rsidRPr="00A764FF">
        <w:rPr>
          <w:b/>
          <w:i/>
          <w:iCs/>
          <w:lang w:val="en-AU"/>
        </w:rPr>
        <w:t xml:space="preserve">Clause </w:t>
      </w:r>
      <w:r w:rsidR="00F65192" w:rsidRPr="00A764FF">
        <w:rPr>
          <w:b/>
          <w:i/>
          <w:iCs/>
          <w:lang w:val="en-AU"/>
        </w:rPr>
        <w:t>1.2.1 A</w:t>
      </w:r>
      <w:r w:rsidR="00765AFC" w:rsidRPr="00A764FF">
        <w:rPr>
          <w:b/>
          <w:i/>
          <w:iCs/>
          <w:lang w:val="en-AU"/>
        </w:rPr>
        <w:t xml:space="preserve"> </w:t>
      </w:r>
      <w:r w:rsidRPr="00A764FF">
        <w:rPr>
          <w:b/>
          <w:i/>
          <w:iCs/>
          <w:lang w:val="en-AU"/>
        </w:rPr>
        <w:t xml:space="preserve">member means a person who holds membership of the Friends </w:t>
      </w:r>
      <w:r w:rsidR="0021166F" w:rsidRPr="00A764FF">
        <w:rPr>
          <w:b/>
          <w:i/>
          <w:iCs/>
          <w:lang w:val="en-AU"/>
        </w:rPr>
        <w:t xml:space="preserve">either </w:t>
      </w:r>
      <w:r w:rsidRPr="00A764FF">
        <w:rPr>
          <w:b/>
          <w:i/>
          <w:iCs/>
          <w:lang w:val="en-AU"/>
        </w:rPr>
        <w:t>as an individual (through Individual, Life or Complimentary membership) or as a nominated member of a household, group or organi</w:t>
      </w:r>
      <w:r w:rsidR="0021166F" w:rsidRPr="00A764FF">
        <w:rPr>
          <w:b/>
          <w:i/>
          <w:iCs/>
          <w:lang w:val="en-AU"/>
        </w:rPr>
        <w:t>s</w:t>
      </w:r>
      <w:r w:rsidRPr="00A764FF">
        <w:rPr>
          <w:b/>
          <w:i/>
          <w:iCs/>
          <w:lang w:val="en-AU"/>
        </w:rPr>
        <w:t>ation as described in Clause 5.2</w:t>
      </w:r>
      <w:r w:rsidR="0021166F" w:rsidRPr="00A764FF">
        <w:rPr>
          <w:b/>
          <w:i/>
          <w:iCs/>
          <w:lang w:val="en-AU"/>
        </w:rPr>
        <w:t>.</w:t>
      </w:r>
    </w:p>
    <w:p w14:paraId="12095719" w14:textId="77777777" w:rsidR="009C4A06" w:rsidRPr="00A764FF" w:rsidRDefault="009C4A06" w:rsidP="00795D22">
      <w:pPr>
        <w:tabs>
          <w:tab w:val="left" w:pos="720"/>
        </w:tabs>
        <w:ind w:left="720"/>
        <w:rPr>
          <w:b/>
          <w:bCs/>
          <w:i/>
          <w:iCs/>
          <w:lang w:val="en-AU"/>
        </w:rPr>
      </w:pPr>
    </w:p>
    <w:p w14:paraId="4639DAAF" w14:textId="3C2A3669" w:rsidR="009E6A3F" w:rsidRPr="00A764FF" w:rsidRDefault="009E6A3F" w:rsidP="00795D22">
      <w:pPr>
        <w:tabs>
          <w:tab w:val="left" w:pos="720"/>
        </w:tabs>
        <w:ind w:left="720"/>
        <w:rPr>
          <w:b/>
          <w:bCs/>
          <w:i/>
          <w:iCs/>
          <w:lang w:val="en-AU"/>
        </w:rPr>
      </w:pPr>
      <w:r w:rsidRPr="00A764FF">
        <w:rPr>
          <w:b/>
          <w:bCs/>
          <w:i/>
          <w:iCs/>
          <w:lang w:val="en-AU"/>
        </w:rPr>
        <w:t xml:space="preserve">Clause </w:t>
      </w:r>
      <w:r w:rsidR="00765AFC" w:rsidRPr="00A764FF">
        <w:rPr>
          <w:b/>
          <w:bCs/>
          <w:i/>
          <w:iCs/>
          <w:lang w:val="en-AU"/>
        </w:rPr>
        <w:t>1.2.1</w:t>
      </w:r>
      <w:r w:rsidR="005A4294" w:rsidRPr="00A764FF">
        <w:rPr>
          <w:b/>
          <w:bCs/>
          <w:i/>
          <w:iCs/>
          <w:lang w:val="en-AU"/>
        </w:rPr>
        <w:t xml:space="preserve"> </w:t>
      </w:r>
      <w:r w:rsidR="00F65192" w:rsidRPr="00A764FF">
        <w:rPr>
          <w:b/>
          <w:bCs/>
          <w:i/>
          <w:iCs/>
          <w:lang w:val="en-AU"/>
        </w:rPr>
        <w:t>A</w:t>
      </w:r>
      <w:r w:rsidRPr="00A764FF">
        <w:rPr>
          <w:b/>
          <w:bCs/>
          <w:i/>
          <w:iCs/>
          <w:lang w:val="en-AU"/>
        </w:rPr>
        <w:t xml:space="preserve"> financial member means all </w:t>
      </w:r>
      <w:r w:rsidR="003C3FC4" w:rsidRPr="00A764FF">
        <w:rPr>
          <w:b/>
          <w:bCs/>
          <w:i/>
          <w:iCs/>
          <w:lang w:val="en-AU"/>
        </w:rPr>
        <w:t>members</w:t>
      </w:r>
      <w:r w:rsidRPr="00A764FF">
        <w:rPr>
          <w:b/>
          <w:bCs/>
          <w:i/>
          <w:iCs/>
          <w:lang w:val="en-AU"/>
        </w:rPr>
        <w:t xml:space="preserve"> that have paid fees in accordance with Clause 5.7(b)</w:t>
      </w:r>
      <w:r w:rsidR="00180AF4" w:rsidRPr="00A764FF">
        <w:rPr>
          <w:b/>
          <w:bCs/>
          <w:i/>
          <w:iCs/>
          <w:lang w:val="en-AU"/>
        </w:rPr>
        <w:t xml:space="preserve"> </w:t>
      </w:r>
      <w:r w:rsidR="004449D9" w:rsidRPr="00A764FF">
        <w:rPr>
          <w:b/>
          <w:bCs/>
          <w:i/>
          <w:iCs/>
          <w:lang w:val="en-AU"/>
        </w:rPr>
        <w:t xml:space="preserve">and </w:t>
      </w:r>
      <w:r w:rsidR="00180AF4" w:rsidRPr="00A764FF">
        <w:rPr>
          <w:b/>
          <w:bCs/>
          <w:i/>
          <w:iCs/>
          <w:lang w:val="en-AU"/>
        </w:rPr>
        <w:t>Life Members</w:t>
      </w:r>
      <w:r w:rsidR="00201AA9" w:rsidRPr="00A764FF">
        <w:rPr>
          <w:b/>
          <w:bCs/>
          <w:i/>
          <w:iCs/>
          <w:lang w:val="en-AU"/>
        </w:rPr>
        <w:t>.</w:t>
      </w:r>
    </w:p>
    <w:p w14:paraId="45679AB4" w14:textId="77777777" w:rsidR="009E6A3F" w:rsidRPr="00A764FF" w:rsidRDefault="009E6A3F" w:rsidP="00795D22">
      <w:pPr>
        <w:tabs>
          <w:tab w:val="left" w:pos="720"/>
        </w:tabs>
        <w:ind w:left="720"/>
        <w:rPr>
          <w:b/>
          <w:bCs/>
          <w:i/>
          <w:iCs/>
          <w:lang w:val="en-AU"/>
        </w:rPr>
      </w:pPr>
    </w:p>
    <w:p w14:paraId="6284C310" w14:textId="42023C65" w:rsidR="000C6B80" w:rsidRPr="00A764FF" w:rsidRDefault="00795D22" w:rsidP="00795D22">
      <w:pPr>
        <w:tabs>
          <w:tab w:val="left" w:pos="720"/>
        </w:tabs>
        <w:ind w:left="720"/>
        <w:rPr>
          <w:b/>
          <w:i/>
          <w:iCs/>
          <w:lang w:val="en-AU"/>
        </w:rPr>
      </w:pPr>
      <w:r w:rsidRPr="00A764FF">
        <w:rPr>
          <w:b/>
          <w:bCs/>
          <w:i/>
          <w:iCs/>
          <w:lang w:val="en-AU"/>
        </w:rPr>
        <w:t>Clause 1.2.1</w:t>
      </w:r>
      <w:r w:rsidRPr="00A764FF">
        <w:rPr>
          <w:b/>
          <w:i/>
          <w:iCs/>
          <w:lang w:val="en-AU"/>
        </w:rPr>
        <w:t xml:space="preserve"> </w:t>
      </w:r>
      <w:r w:rsidRPr="00A764FF">
        <w:rPr>
          <w:b/>
          <w:bCs/>
          <w:i/>
          <w:iCs/>
          <w:lang w:val="en-AU"/>
        </w:rPr>
        <w:t>Voting Member</w:t>
      </w:r>
      <w:r w:rsidRPr="00A764FF">
        <w:rPr>
          <w:b/>
          <w:i/>
          <w:iCs/>
          <w:lang w:val="en-AU"/>
        </w:rPr>
        <w:t xml:space="preserve"> means</w:t>
      </w:r>
      <w:r w:rsidR="00A06FFC" w:rsidRPr="00A764FF">
        <w:rPr>
          <w:b/>
          <w:i/>
          <w:iCs/>
          <w:lang w:val="en-AU"/>
        </w:rPr>
        <w:t xml:space="preserve"> </w:t>
      </w:r>
      <w:r w:rsidR="009E6A3F" w:rsidRPr="00A764FF">
        <w:rPr>
          <w:b/>
          <w:i/>
          <w:iCs/>
          <w:lang w:val="en-AU"/>
        </w:rPr>
        <w:t xml:space="preserve">financial </w:t>
      </w:r>
      <w:r w:rsidR="00A06FFC" w:rsidRPr="00A764FF">
        <w:rPr>
          <w:b/>
          <w:i/>
          <w:iCs/>
          <w:lang w:val="en-AU"/>
        </w:rPr>
        <w:t>members</w:t>
      </w:r>
      <w:r w:rsidR="009F5D9B" w:rsidRPr="00A764FF">
        <w:rPr>
          <w:b/>
          <w:i/>
          <w:iCs/>
          <w:lang w:val="en-AU"/>
        </w:rPr>
        <w:t xml:space="preserve"> </w:t>
      </w:r>
      <w:r w:rsidR="009C4A06" w:rsidRPr="00A764FF">
        <w:rPr>
          <w:b/>
          <w:i/>
          <w:iCs/>
          <w:lang w:val="en-AU"/>
        </w:rPr>
        <w:t xml:space="preserve">entitled to vote at a meeting in accordance with Clause 7.2.6 (b) </w:t>
      </w:r>
      <w:r w:rsidR="00180AF4" w:rsidRPr="00A764FF">
        <w:rPr>
          <w:b/>
          <w:i/>
          <w:iCs/>
          <w:lang w:val="en-AU"/>
        </w:rPr>
        <w:t>and (c)</w:t>
      </w:r>
      <w:r w:rsidR="0021166F" w:rsidRPr="00A764FF">
        <w:rPr>
          <w:b/>
          <w:i/>
          <w:iCs/>
          <w:lang w:val="en-AU"/>
        </w:rPr>
        <w:t>.</w:t>
      </w:r>
    </w:p>
    <w:p w14:paraId="30284802" w14:textId="77777777" w:rsidR="00A06FFC" w:rsidRPr="00A764FF" w:rsidRDefault="00A06FFC" w:rsidP="00795D22">
      <w:pPr>
        <w:tabs>
          <w:tab w:val="left" w:pos="720"/>
        </w:tabs>
        <w:ind w:left="720"/>
        <w:rPr>
          <w:b/>
          <w:i/>
          <w:iCs/>
          <w:lang w:val="en-AU"/>
        </w:rPr>
      </w:pPr>
    </w:p>
    <w:p w14:paraId="6A959658" w14:textId="77777777" w:rsidR="004449D9" w:rsidRPr="00A764FF" w:rsidRDefault="0015023F" w:rsidP="00BE5E63">
      <w:pPr>
        <w:tabs>
          <w:tab w:val="left" w:pos="720"/>
        </w:tabs>
        <w:ind w:left="720"/>
        <w:rPr>
          <w:b/>
          <w:bCs/>
          <w:i/>
          <w:iCs/>
          <w:lang w:val="en-AU"/>
        </w:rPr>
      </w:pPr>
      <w:r w:rsidRPr="00A764FF">
        <w:rPr>
          <w:b/>
          <w:bCs/>
          <w:i/>
          <w:iCs/>
          <w:lang w:val="en-AU"/>
        </w:rPr>
        <w:t>Clause 5.3.1</w:t>
      </w:r>
      <w:r w:rsidRPr="00A764FF">
        <w:rPr>
          <w:b/>
          <w:i/>
          <w:iCs/>
          <w:lang w:val="en-AU"/>
        </w:rPr>
        <w:t xml:space="preserve"> </w:t>
      </w:r>
      <w:r w:rsidRPr="00A764FF">
        <w:rPr>
          <w:b/>
          <w:bCs/>
          <w:i/>
          <w:iCs/>
          <w:lang w:val="en-AU"/>
        </w:rPr>
        <w:t>Membership</w:t>
      </w:r>
    </w:p>
    <w:p w14:paraId="03F24BF9" w14:textId="1EA78CA6" w:rsidR="0015023F" w:rsidRPr="00A764FF" w:rsidRDefault="00765AFC" w:rsidP="00BE5E63">
      <w:pPr>
        <w:tabs>
          <w:tab w:val="left" w:pos="720"/>
        </w:tabs>
        <w:ind w:left="720"/>
        <w:rPr>
          <w:b/>
          <w:i/>
          <w:iCs/>
          <w:lang w:val="en-AU"/>
        </w:rPr>
      </w:pPr>
      <w:r w:rsidRPr="00A764FF">
        <w:rPr>
          <w:b/>
          <w:bCs/>
          <w:i/>
          <w:iCs/>
          <w:lang w:val="en-AU"/>
        </w:rPr>
        <w:t>Members</w:t>
      </w:r>
      <w:r w:rsidR="0015023F" w:rsidRPr="00A764FF">
        <w:rPr>
          <w:b/>
          <w:i/>
          <w:iCs/>
          <w:lang w:val="en-AU"/>
        </w:rPr>
        <w:t xml:space="preserve"> include:</w:t>
      </w:r>
    </w:p>
    <w:p w14:paraId="0159524C" w14:textId="615598C2" w:rsidR="0015023F" w:rsidRPr="00A764FF" w:rsidRDefault="0015023F" w:rsidP="0015023F">
      <w:pPr>
        <w:tabs>
          <w:tab w:val="left" w:pos="720"/>
        </w:tabs>
        <w:ind w:left="720"/>
        <w:rPr>
          <w:b/>
          <w:i/>
          <w:iCs/>
          <w:lang w:val="en-AU"/>
        </w:rPr>
      </w:pPr>
      <w:r w:rsidRPr="00A764FF">
        <w:rPr>
          <w:b/>
          <w:i/>
          <w:iCs/>
          <w:lang w:val="en-AU"/>
        </w:rPr>
        <w:t>(a) Individuals</w:t>
      </w:r>
      <w:r w:rsidR="00690F31" w:rsidRPr="00A764FF">
        <w:rPr>
          <w:b/>
          <w:i/>
          <w:iCs/>
          <w:lang w:val="en-AU"/>
        </w:rPr>
        <w:t>;</w:t>
      </w:r>
      <w:r w:rsidR="00E453C1" w:rsidRPr="00A764FF">
        <w:rPr>
          <w:b/>
          <w:i/>
          <w:iCs/>
          <w:lang w:val="en-AU"/>
        </w:rPr>
        <w:t xml:space="preserve"> </w:t>
      </w:r>
    </w:p>
    <w:p w14:paraId="5AB6E1FC" w14:textId="4029E669" w:rsidR="0015023F" w:rsidRPr="00A764FF" w:rsidRDefault="0015023F" w:rsidP="0015023F">
      <w:pPr>
        <w:tabs>
          <w:tab w:val="left" w:pos="720"/>
        </w:tabs>
        <w:ind w:left="720"/>
        <w:rPr>
          <w:b/>
          <w:i/>
          <w:iCs/>
          <w:lang w:val="en-AU"/>
        </w:rPr>
      </w:pPr>
      <w:r w:rsidRPr="00A764FF">
        <w:rPr>
          <w:b/>
          <w:i/>
          <w:iCs/>
          <w:lang w:val="en-AU"/>
        </w:rPr>
        <w:t>(b)</w:t>
      </w:r>
      <w:r w:rsidR="009C4A06" w:rsidRPr="00A764FF">
        <w:rPr>
          <w:b/>
          <w:i/>
          <w:iCs/>
          <w:lang w:val="en-AU"/>
        </w:rPr>
        <w:t xml:space="preserve"> </w:t>
      </w:r>
      <w:r w:rsidR="00F65192" w:rsidRPr="00A764FF">
        <w:rPr>
          <w:b/>
          <w:i/>
          <w:iCs/>
          <w:lang w:val="en-AU"/>
        </w:rPr>
        <w:t>N</w:t>
      </w:r>
      <w:r w:rsidR="009C4A06" w:rsidRPr="00A764FF">
        <w:rPr>
          <w:b/>
          <w:i/>
          <w:iCs/>
          <w:lang w:val="en-AU"/>
        </w:rPr>
        <w:t xml:space="preserve">ominated members of </w:t>
      </w:r>
      <w:r w:rsidRPr="00A764FF">
        <w:rPr>
          <w:b/>
          <w:i/>
          <w:iCs/>
          <w:lang w:val="en-AU"/>
        </w:rPr>
        <w:t>Households (which means persons residing at the same address); and</w:t>
      </w:r>
    </w:p>
    <w:p w14:paraId="3508591D" w14:textId="33841C2E" w:rsidR="0015023F" w:rsidRPr="00A764FF" w:rsidRDefault="0015023F" w:rsidP="0015023F">
      <w:pPr>
        <w:tabs>
          <w:tab w:val="left" w:pos="720"/>
        </w:tabs>
        <w:ind w:left="720"/>
        <w:rPr>
          <w:b/>
          <w:bCs/>
          <w:lang w:val="en-AU"/>
        </w:rPr>
      </w:pPr>
      <w:r w:rsidRPr="00A764FF">
        <w:rPr>
          <w:b/>
          <w:i/>
          <w:iCs/>
          <w:lang w:val="en-AU"/>
        </w:rPr>
        <w:t xml:space="preserve">(c) </w:t>
      </w:r>
      <w:r w:rsidR="00BE5E63" w:rsidRPr="00A764FF">
        <w:rPr>
          <w:b/>
          <w:i/>
          <w:iCs/>
          <w:lang w:val="en-AU"/>
        </w:rPr>
        <w:t>Nominated mem</w:t>
      </w:r>
      <w:r w:rsidR="009C4A06" w:rsidRPr="00A764FF">
        <w:rPr>
          <w:b/>
          <w:i/>
          <w:iCs/>
          <w:lang w:val="en-AU"/>
        </w:rPr>
        <w:t>b</w:t>
      </w:r>
      <w:r w:rsidR="00BE5E63" w:rsidRPr="00A764FF">
        <w:rPr>
          <w:b/>
          <w:i/>
          <w:iCs/>
          <w:lang w:val="en-AU"/>
        </w:rPr>
        <w:t>e</w:t>
      </w:r>
      <w:r w:rsidR="009C4A06" w:rsidRPr="00A764FF">
        <w:rPr>
          <w:b/>
          <w:i/>
          <w:iCs/>
          <w:lang w:val="en-AU"/>
        </w:rPr>
        <w:t xml:space="preserve">rs of </w:t>
      </w:r>
      <w:r w:rsidR="00F65192" w:rsidRPr="00A764FF">
        <w:rPr>
          <w:b/>
          <w:i/>
          <w:iCs/>
          <w:lang w:val="en-AU"/>
        </w:rPr>
        <w:t xml:space="preserve">Groups and </w:t>
      </w:r>
      <w:r w:rsidRPr="00A764FF">
        <w:rPr>
          <w:b/>
          <w:i/>
          <w:iCs/>
          <w:lang w:val="en-AU"/>
        </w:rPr>
        <w:t>Organisations (as described in Clause 5.2).</w:t>
      </w:r>
    </w:p>
    <w:p w14:paraId="46B31CD1" w14:textId="77777777" w:rsidR="0015023F" w:rsidRPr="00A764FF" w:rsidRDefault="0015023F" w:rsidP="006E5267">
      <w:pPr>
        <w:tabs>
          <w:tab w:val="left" w:pos="720"/>
        </w:tabs>
        <w:ind w:left="720"/>
        <w:rPr>
          <w:bCs/>
          <w:lang w:val="en-AU"/>
        </w:rPr>
      </w:pPr>
    </w:p>
    <w:p w14:paraId="03FA06D8" w14:textId="585C6B1D" w:rsidR="000C6B80" w:rsidRPr="00A764FF" w:rsidRDefault="000C6B80" w:rsidP="006E5267">
      <w:pPr>
        <w:tabs>
          <w:tab w:val="left" w:pos="720"/>
        </w:tabs>
        <w:ind w:left="720"/>
        <w:rPr>
          <w:bCs/>
          <w:lang w:val="en-AU"/>
        </w:rPr>
      </w:pPr>
      <w:r w:rsidRPr="00A764FF">
        <w:rPr>
          <w:bCs/>
          <w:lang w:val="en-AU"/>
        </w:rPr>
        <w:t xml:space="preserve">Consequentially references in </w:t>
      </w:r>
      <w:r w:rsidR="00DD2DD1" w:rsidRPr="00A764FF">
        <w:rPr>
          <w:bCs/>
          <w:lang w:val="en-AU"/>
        </w:rPr>
        <w:t xml:space="preserve">the following </w:t>
      </w:r>
      <w:r w:rsidRPr="00A764FF">
        <w:rPr>
          <w:bCs/>
          <w:lang w:val="en-AU"/>
        </w:rPr>
        <w:t xml:space="preserve">clauses </w:t>
      </w:r>
      <w:r w:rsidR="005D70F1" w:rsidRPr="00A764FF">
        <w:rPr>
          <w:bCs/>
          <w:lang w:val="en-AU"/>
        </w:rPr>
        <w:t>need</w:t>
      </w:r>
      <w:r w:rsidRPr="00A764FF">
        <w:rPr>
          <w:bCs/>
          <w:lang w:val="en-AU"/>
        </w:rPr>
        <w:t xml:space="preserve"> </w:t>
      </w:r>
      <w:r w:rsidR="009E6A3F" w:rsidRPr="00A764FF">
        <w:rPr>
          <w:bCs/>
          <w:lang w:val="en-AU"/>
        </w:rPr>
        <w:t xml:space="preserve">to be simplified to </w:t>
      </w:r>
      <w:r w:rsidRPr="00A764FF">
        <w:rPr>
          <w:bCs/>
          <w:lang w:val="en-AU"/>
        </w:rPr>
        <w:t xml:space="preserve">delete </w:t>
      </w:r>
      <w:r w:rsidR="005D70F1" w:rsidRPr="00A764FF">
        <w:rPr>
          <w:bCs/>
          <w:lang w:val="en-AU"/>
        </w:rPr>
        <w:t xml:space="preserve">reference to </w:t>
      </w:r>
      <w:r w:rsidR="009E6A3F" w:rsidRPr="00A764FF">
        <w:rPr>
          <w:bCs/>
          <w:lang w:val="en-AU"/>
        </w:rPr>
        <w:t>“financial voting members”</w:t>
      </w:r>
      <w:r w:rsidR="005D70F1" w:rsidRPr="00A764FF">
        <w:rPr>
          <w:bCs/>
          <w:lang w:val="en-AU"/>
        </w:rPr>
        <w:t>.</w:t>
      </w:r>
      <w:r w:rsidR="009E6A3F" w:rsidRPr="00A764FF">
        <w:rPr>
          <w:bCs/>
          <w:lang w:val="en-AU"/>
        </w:rPr>
        <w:t xml:space="preserve"> </w:t>
      </w:r>
      <w:r w:rsidR="00201AA9" w:rsidRPr="00A764FF">
        <w:rPr>
          <w:bCs/>
          <w:lang w:val="en-AU"/>
        </w:rPr>
        <w:t>A v</w:t>
      </w:r>
      <w:r w:rsidR="009E6A3F" w:rsidRPr="00A764FF">
        <w:rPr>
          <w:bCs/>
          <w:lang w:val="en-AU"/>
        </w:rPr>
        <w:t>oting member is a financial member.</w:t>
      </w:r>
    </w:p>
    <w:p w14:paraId="16914F60" w14:textId="77777777" w:rsidR="00DD2DD1" w:rsidRPr="00A764FF" w:rsidRDefault="00DD2DD1" w:rsidP="006E5267">
      <w:pPr>
        <w:tabs>
          <w:tab w:val="left" w:pos="720"/>
        </w:tabs>
        <w:ind w:left="720"/>
        <w:rPr>
          <w:b/>
          <w:i/>
          <w:iCs/>
          <w:lang w:val="en-AU"/>
        </w:rPr>
      </w:pPr>
    </w:p>
    <w:p w14:paraId="128F7BFB" w14:textId="70214CDA" w:rsidR="005D70F1" w:rsidRPr="00A764FF" w:rsidRDefault="005D70F1" w:rsidP="006E5267">
      <w:pPr>
        <w:tabs>
          <w:tab w:val="left" w:pos="720"/>
        </w:tabs>
        <w:ind w:left="720"/>
        <w:rPr>
          <w:b/>
          <w:i/>
          <w:iCs/>
          <w:strike/>
          <w:lang w:val="en-AU"/>
        </w:rPr>
      </w:pPr>
      <w:r w:rsidRPr="00A764FF">
        <w:rPr>
          <w:b/>
          <w:i/>
          <w:iCs/>
          <w:lang w:val="en-AU"/>
        </w:rPr>
        <w:t>Clause 7.2.2(b) A special general meeting shall be called by the Secretary on the written request for such meeting signed by twenty-five (25) members or five (5) per cent, whichever is the fewer, of voting members</w:t>
      </w:r>
      <w:bookmarkStart w:id="0" w:name="_Hlk84415897"/>
      <w:r w:rsidR="00A06FFC" w:rsidRPr="00A764FF">
        <w:rPr>
          <w:b/>
          <w:i/>
          <w:iCs/>
          <w:lang w:val="en-AU"/>
        </w:rPr>
        <w:t xml:space="preserve"> of the Friends.</w:t>
      </w:r>
      <w:bookmarkEnd w:id="0"/>
    </w:p>
    <w:p w14:paraId="53EEAFDF" w14:textId="20439811" w:rsidR="005D70F1" w:rsidRPr="00A764FF" w:rsidRDefault="005D70F1" w:rsidP="006E5267">
      <w:pPr>
        <w:tabs>
          <w:tab w:val="left" w:pos="720"/>
        </w:tabs>
        <w:ind w:left="720"/>
        <w:rPr>
          <w:b/>
          <w:i/>
          <w:iCs/>
          <w:strike/>
          <w:lang w:val="en-AU"/>
        </w:rPr>
      </w:pPr>
    </w:p>
    <w:p w14:paraId="65D06D88" w14:textId="143672BD" w:rsidR="005D70F1" w:rsidRPr="00A764FF" w:rsidRDefault="005D70F1" w:rsidP="006E5267">
      <w:pPr>
        <w:tabs>
          <w:tab w:val="left" w:pos="720"/>
        </w:tabs>
        <w:ind w:left="720"/>
        <w:rPr>
          <w:b/>
          <w:i/>
          <w:iCs/>
          <w:strike/>
          <w:lang w:val="en-AU"/>
        </w:rPr>
      </w:pPr>
      <w:r w:rsidRPr="00A764FF">
        <w:rPr>
          <w:b/>
          <w:i/>
          <w:iCs/>
          <w:lang w:val="en-AU"/>
        </w:rPr>
        <w:t>Clause 7.2.5</w:t>
      </w:r>
      <w:r w:rsidR="00FB27F9" w:rsidRPr="00A764FF">
        <w:rPr>
          <w:b/>
          <w:i/>
          <w:iCs/>
          <w:lang w:val="en-AU"/>
        </w:rPr>
        <w:t>(a) A q</w:t>
      </w:r>
      <w:r w:rsidRPr="00A764FF">
        <w:rPr>
          <w:b/>
          <w:i/>
          <w:iCs/>
          <w:lang w:val="en-AU"/>
        </w:rPr>
        <w:t>uorum</w:t>
      </w:r>
      <w:r w:rsidR="00180AF4" w:rsidRPr="00A764FF">
        <w:rPr>
          <w:b/>
          <w:i/>
          <w:iCs/>
          <w:lang w:val="en-AU"/>
        </w:rPr>
        <w:t xml:space="preserve"> shall be twenty-five (25) </w:t>
      </w:r>
      <w:r w:rsidR="00FB27F9" w:rsidRPr="00A764FF">
        <w:rPr>
          <w:b/>
          <w:i/>
          <w:iCs/>
          <w:lang w:val="en-AU"/>
        </w:rPr>
        <w:t>voting member</w:t>
      </w:r>
      <w:r w:rsidR="00A06FFC" w:rsidRPr="00A764FF">
        <w:rPr>
          <w:b/>
          <w:i/>
          <w:iCs/>
          <w:lang w:val="en-AU"/>
        </w:rPr>
        <w:t>s of the Friends</w:t>
      </w:r>
      <w:r w:rsidR="00FB27F9" w:rsidRPr="00A764FF">
        <w:rPr>
          <w:b/>
          <w:i/>
          <w:iCs/>
          <w:strike/>
          <w:lang w:val="en-AU"/>
        </w:rPr>
        <w:t>.</w:t>
      </w:r>
    </w:p>
    <w:p w14:paraId="41D1E69C" w14:textId="77777777" w:rsidR="00BE5E63" w:rsidRPr="00A764FF" w:rsidRDefault="00BE5E63" w:rsidP="006E5267">
      <w:pPr>
        <w:tabs>
          <w:tab w:val="left" w:pos="720"/>
        </w:tabs>
        <w:ind w:left="720"/>
        <w:rPr>
          <w:b/>
          <w:i/>
          <w:iCs/>
          <w:strike/>
          <w:lang w:val="en-AU"/>
        </w:rPr>
      </w:pPr>
    </w:p>
    <w:p w14:paraId="5CA31C89" w14:textId="17C86137" w:rsidR="00BE5E63" w:rsidRPr="00A764FF" w:rsidRDefault="00BE5E63" w:rsidP="00BE5E63">
      <w:pPr>
        <w:ind w:left="720"/>
        <w:rPr>
          <w:bCs/>
          <w:lang w:val="en-AU"/>
        </w:rPr>
      </w:pPr>
      <w:r w:rsidRPr="00A764FF">
        <w:rPr>
          <w:bCs/>
          <w:lang w:val="en-AU"/>
        </w:rPr>
        <w:t xml:space="preserve">There are consequential changes needed to Clause 7.2.6 – please see page </w:t>
      </w:r>
      <w:r w:rsidR="00193A69" w:rsidRPr="00A764FF">
        <w:rPr>
          <w:bCs/>
          <w:lang w:val="en-AU"/>
        </w:rPr>
        <w:t>6</w:t>
      </w:r>
      <w:r w:rsidR="00193A69" w:rsidRPr="00A764FF">
        <w:rPr>
          <w:bCs/>
          <w:strike/>
          <w:lang w:val="en-AU"/>
        </w:rPr>
        <w:t xml:space="preserve"> </w:t>
      </w:r>
      <w:r w:rsidRPr="00A764FF">
        <w:rPr>
          <w:bCs/>
          <w:lang w:val="en-AU"/>
        </w:rPr>
        <w:t>of this paper about voting.</w:t>
      </w:r>
    </w:p>
    <w:p w14:paraId="773941E6" w14:textId="77777777" w:rsidR="00BE5E63" w:rsidRPr="00A764FF" w:rsidRDefault="00BE5E63" w:rsidP="000D2B49">
      <w:pPr>
        <w:rPr>
          <w:b/>
          <w:bCs/>
          <w:lang w:val="en-AU"/>
        </w:rPr>
      </w:pPr>
    </w:p>
    <w:p w14:paraId="5ED6B2FC" w14:textId="77777777" w:rsidR="004C6BB1" w:rsidRPr="00A764FF" w:rsidRDefault="000D2B49" w:rsidP="000D2B49">
      <w:pPr>
        <w:rPr>
          <w:b/>
          <w:bCs/>
          <w:iCs/>
          <w:lang w:val="en-AU"/>
        </w:rPr>
      </w:pPr>
      <w:r w:rsidRPr="00A764FF">
        <w:rPr>
          <w:b/>
          <w:bCs/>
          <w:lang w:val="en-AU"/>
        </w:rPr>
        <w:t>(c)</w:t>
      </w:r>
      <w:r w:rsidRPr="00A764FF">
        <w:rPr>
          <w:lang w:val="en-AU"/>
        </w:rPr>
        <w:t xml:space="preserve"> </w:t>
      </w:r>
      <w:r w:rsidRPr="00A764FF">
        <w:rPr>
          <w:b/>
          <w:bCs/>
          <w:iCs/>
          <w:lang w:val="en-AU"/>
        </w:rPr>
        <w:t>Clause 1.2.2</w:t>
      </w:r>
      <w:r w:rsidRPr="00A764FF">
        <w:rPr>
          <w:bCs/>
          <w:iCs/>
          <w:lang w:val="en-AU"/>
        </w:rPr>
        <w:t xml:space="preserve"> </w:t>
      </w:r>
      <w:r w:rsidRPr="00A764FF">
        <w:rPr>
          <w:b/>
          <w:bCs/>
          <w:iCs/>
          <w:lang w:val="en-AU"/>
        </w:rPr>
        <w:t>Interpretation</w:t>
      </w:r>
    </w:p>
    <w:p w14:paraId="48BC70A0" w14:textId="77777777" w:rsidR="004C6BB1" w:rsidRPr="00A764FF" w:rsidRDefault="004C6BB1" w:rsidP="000D2B49">
      <w:pPr>
        <w:rPr>
          <w:b/>
          <w:bCs/>
          <w:iCs/>
          <w:lang w:val="en-AU"/>
        </w:rPr>
      </w:pPr>
    </w:p>
    <w:p w14:paraId="614BA85F" w14:textId="5EA2167E" w:rsidR="000D2B49" w:rsidRPr="00A764FF" w:rsidRDefault="004C6BB1" w:rsidP="000D2B49">
      <w:pPr>
        <w:rPr>
          <w:bCs/>
          <w:iCs/>
          <w:lang w:val="en-AU"/>
        </w:rPr>
      </w:pPr>
      <w:r w:rsidRPr="00A764FF">
        <w:rPr>
          <w:bCs/>
          <w:iCs/>
          <w:lang w:val="en-AU"/>
        </w:rPr>
        <w:t>In this clause</w:t>
      </w:r>
      <w:r w:rsidR="00E14DC3" w:rsidRPr="00A764FF">
        <w:rPr>
          <w:bCs/>
          <w:iCs/>
          <w:lang w:val="en-AU"/>
        </w:rPr>
        <w:t>, sub clause</w:t>
      </w:r>
      <w:r w:rsidRPr="00A764FF">
        <w:rPr>
          <w:bCs/>
          <w:iCs/>
          <w:lang w:val="en-AU"/>
        </w:rPr>
        <w:t xml:space="preserve"> </w:t>
      </w:r>
      <w:r w:rsidR="000D2B49" w:rsidRPr="00A764FF">
        <w:rPr>
          <w:bCs/>
          <w:iCs/>
          <w:lang w:val="en-AU"/>
        </w:rPr>
        <w:t>(a) states</w:t>
      </w:r>
      <w:r w:rsidR="000D2B49" w:rsidRPr="00A764FF">
        <w:rPr>
          <w:b/>
          <w:bCs/>
          <w:iCs/>
          <w:lang w:val="en-AU"/>
        </w:rPr>
        <w:t xml:space="preserve"> </w:t>
      </w:r>
      <w:r w:rsidR="000D2B49" w:rsidRPr="00A764FF">
        <w:rPr>
          <w:bCs/>
          <w:i/>
          <w:iCs/>
          <w:lang w:val="en-AU"/>
        </w:rPr>
        <w:t>words importing any gender include all other genders</w:t>
      </w:r>
      <w:r w:rsidR="000D2B49" w:rsidRPr="00A764FF">
        <w:rPr>
          <w:bCs/>
          <w:iCs/>
          <w:lang w:val="en-AU"/>
        </w:rPr>
        <w:t xml:space="preserve">.  To </w:t>
      </w:r>
      <w:r w:rsidR="00E14DC3" w:rsidRPr="00A764FF">
        <w:rPr>
          <w:bCs/>
          <w:iCs/>
          <w:lang w:val="en-AU"/>
        </w:rPr>
        <w:t xml:space="preserve">make </w:t>
      </w:r>
      <w:r w:rsidR="000D2B49" w:rsidRPr="00A764FF">
        <w:rPr>
          <w:bCs/>
          <w:iCs/>
          <w:lang w:val="en-AU"/>
        </w:rPr>
        <w:t xml:space="preserve">the Constitution gender neutral, it is proposed that this </w:t>
      </w:r>
      <w:r w:rsidR="00E14DC3" w:rsidRPr="00A764FF">
        <w:rPr>
          <w:bCs/>
          <w:iCs/>
          <w:lang w:val="en-AU"/>
        </w:rPr>
        <w:t xml:space="preserve">sub clause </w:t>
      </w:r>
      <w:r w:rsidR="000D2B49" w:rsidRPr="00A764FF">
        <w:rPr>
          <w:bCs/>
          <w:iCs/>
          <w:lang w:val="en-AU"/>
        </w:rPr>
        <w:t xml:space="preserve">be deleted </w:t>
      </w:r>
      <w:r w:rsidR="00847834" w:rsidRPr="00A764FF">
        <w:rPr>
          <w:bCs/>
          <w:iCs/>
          <w:lang w:val="en-AU"/>
        </w:rPr>
        <w:t>a</w:t>
      </w:r>
      <w:r w:rsidR="00180AF4" w:rsidRPr="00A764FF">
        <w:rPr>
          <w:bCs/>
          <w:iCs/>
          <w:lang w:val="en-AU"/>
        </w:rPr>
        <w:t xml:space="preserve">nd alterations made to </w:t>
      </w:r>
      <w:r w:rsidR="000D2B49" w:rsidRPr="00A764FF">
        <w:rPr>
          <w:bCs/>
          <w:iCs/>
          <w:lang w:val="en-AU"/>
        </w:rPr>
        <w:t>several clauses that refer to</w:t>
      </w:r>
      <w:r w:rsidR="000D2B49" w:rsidRPr="00A764FF">
        <w:rPr>
          <w:b/>
          <w:bCs/>
          <w:iCs/>
          <w:lang w:val="en-AU"/>
        </w:rPr>
        <w:t xml:space="preserve"> he/she (his/her)</w:t>
      </w:r>
      <w:r w:rsidR="00847834" w:rsidRPr="00A764FF">
        <w:rPr>
          <w:b/>
          <w:bCs/>
          <w:iCs/>
          <w:lang w:val="en-AU"/>
        </w:rPr>
        <w:t xml:space="preserve">. </w:t>
      </w:r>
      <w:r w:rsidR="000D2B49" w:rsidRPr="00A764FF">
        <w:rPr>
          <w:bCs/>
          <w:iCs/>
          <w:lang w:val="en-AU"/>
        </w:rPr>
        <w:t xml:space="preserve">These clauses are:  </w:t>
      </w:r>
    </w:p>
    <w:p w14:paraId="2E8741CB" w14:textId="77777777" w:rsidR="000D2B49" w:rsidRPr="00A764FF" w:rsidRDefault="000D2B49" w:rsidP="000D2B49">
      <w:pPr>
        <w:rPr>
          <w:bCs/>
          <w:iCs/>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160"/>
      </w:tblGrid>
      <w:tr w:rsidR="004C21E2" w:rsidRPr="004C21E2" w14:paraId="7CE01E19" w14:textId="77777777" w:rsidTr="004C21E2">
        <w:tc>
          <w:tcPr>
            <w:tcW w:w="2802" w:type="dxa"/>
          </w:tcPr>
          <w:p w14:paraId="392E2DCC" w14:textId="77777777" w:rsidR="004C21E2" w:rsidRPr="004C21E2" w:rsidRDefault="004C21E2" w:rsidP="009E422B">
            <w:pPr>
              <w:spacing w:after="40"/>
              <w:rPr>
                <w:bCs/>
                <w:iCs/>
                <w:lang w:val="en-AU"/>
              </w:rPr>
            </w:pPr>
            <w:r w:rsidRPr="004C21E2">
              <w:rPr>
                <w:bCs/>
                <w:iCs/>
                <w:lang w:val="en-AU"/>
              </w:rPr>
              <w:t>Clause 6.7.2</w:t>
            </w:r>
          </w:p>
        </w:tc>
        <w:tc>
          <w:tcPr>
            <w:tcW w:w="7160" w:type="dxa"/>
          </w:tcPr>
          <w:p w14:paraId="3B9FCF4A" w14:textId="77777777" w:rsidR="004C21E2" w:rsidRPr="004C21E2" w:rsidRDefault="004C21E2" w:rsidP="009E422B">
            <w:pPr>
              <w:spacing w:after="40"/>
              <w:rPr>
                <w:bCs/>
                <w:i/>
                <w:iCs/>
                <w:lang w:val="en-AU"/>
              </w:rPr>
            </w:pPr>
            <w:r w:rsidRPr="004C21E2">
              <w:rPr>
                <w:bCs/>
                <w:iCs/>
                <w:lang w:val="en-AU"/>
              </w:rPr>
              <w:t xml:space="preserve">Delete </w:t>
            </w:r>
            <w:r w:rsidRPr="004C21E2">
              <w:rPr>
                <w:b/>
                <w:bCs/>
                <w:i/>
                <w:iCs/>
                <w:u w:val="single"/>
                <w:lang w:val="en-AU"/>
              </w:rPr>
              <w:t>he/she</w:t>
            </w:r>
            <w:r w:rsidRPr="004C21E2">
              <w:rPr>
                <w:bCs/>
                <w:iCs/>
                <w:lang w:val="en-AU"/>
              </w:rPr>
              <w:t xml:space="preserve"> and replace with </w:t>
            </w:r>
            <w:r w:rsidRPr="004C21E2">
              <w:rPr>
                <w:b/>
                <w:bCs/>
                <w:i/>
                <w:iCs/>
                <w:u w:val="single"/>
                <w:lang w:val="en-AU"/>
              </w:rPr>
              <w:t>the member</w:t>
            </w:r>
            <w:r w:rsidRPr="004C21E2">
              <w:rPr>
                <w:bCs/>
                <w:i/>
                <w:iCs/>
                <w:lang w:val="en-AU"/>
              </w:rPr>
              <w:t xml:space="preserve"> </w:t>
            </w:r>
          </w:p>
        </w:tc>
      </w:tr>
      <w:tr w:rsidR="004C21E2" w:rsidRPr="004C21E2" w14:paraId="0898D6E1" w14:textId="77777777" w:rsidTr="004C21E2">
        <w:tc>
          <w:tcPr>
            <w:tcW w:w="2802" w:type="dxa"/>
          </w:tcPr>
          <w:p w14:paraId="3CEFAB94" w14:textId="77777777" w:rsidR="004C21E2" w:rsidRPr="004C21E2" w:rsidRDefault="004C21E2" w:rsidP="009E422B">
            <w:pPr>
              <w:spacing w:after="40"/>
              <w:rPr>
                <w:bCs/>
                <w:iCs/>
                <w:lang w:val="en-AU"/>
              </w:rPr>
            </w:pPr>
            <w:r w:rsidRPr="004C21E2">
              <w:rPr>
                <w:bCs/>
                <w:iCs/>
                <w:lang w:val="en-AU"/>
              </w:rPr>
              <w:t>Clause 6.7.2 (b)</w:t>
            </w:r>
          </w:p>
        </w:tc>
        <w:tc>
          <w:tcPr>
            <w:tcW w:w="7160" w:type="dxa"/>
          </w:tcPr>
          <w:p w14:paraId="51962867" w14:textId="77777777" w:rsidR="004C21E2" w:rsidRPr="004C21E2" w:rsidRDefault="004C21E2" w:rsidP="009E422B">
            <w:pPr>
              <w:spacing w:after="40"/>
              <w:rPr>
                <w:bCs/>
                <w:iCs/>
                <w:lang w:val="en-AU"/>
              </w:rPr>
            </w:pPr>
            <w:r w:rsidRPr="004C21E2">
              <w:rPr>
                <w:bCs/>
                <w:iCs/>
                <w:lang w:val="en-AU"/>
              </w:rPr>
              <w:t xml:space="preserve">Delete </w:t>
            </w:r>
            <w:r w:rsidRPr="004C21E2">
              <w:rPr>
                <w:b/>
                <w:bCs/>
                <w:i/>
                <w:iCs/>
                <w:u w:val="single"/>
                <w:lang w:val="en-AU"/>
              </w:rPr>
              <w:t>his or her office</w:t>
            </w:r>
            <w:r w:rsidRPr="004C21E2">
              <w:rPr>
                <w:bCs/>
                <w:iCs/>
                <w:lang w:val="en-AU"/>
              </w:rPr>
              <w:t xml:space="preserve"> and replace with </w:t>
            </w:r>
            <w:r w:rsidRPr="004C21E2">
              <w:rPr>
                <w:b/>
                <w:bCs/>
                <w:i/>
                <w:u w:val="single"/>
                <w:lang w:val="en-AU"/>
              </w:rPr>
              <w:t>their office</w:t>
            </w:r>
            <w:r w:rsidRPr="004C21E2">
              <w:rPr>
                <w:bCs/>
                <w:iCs/>
                <w:lang w:val="en-AU"/>
              </w:rPr>
              <w:t xml:space="preserve"> </w:t>
            </w:r>
          </w:p>
        </w:tc>
      </w:tr>
      <w:tr w:rsidR="004C21E2" w:rsidRPr="004C21E2" w14:paraId="6D666118" w14:textId="77777777" w:rsidTr="004C21E2">
        <w:tc>
          <w:tcPr>
            <w:tcW w:w="2802" w:type="dxa"/>
          </w:tcPr>
          <w:p w14:paraId="6A7838F2" w14:textId="77777777" w:rsidR="004C21E2" w:rsidRPr="004C21E2" w:rsidRDefault="004C21E2" w:rsidP="009E422B">
            <w:pPr>
              <w:spacing w:after="40"/>
              <w:rPr>
                <w:bCs/>
                <w:iCs/>
                <w:lang w:val="en-AU"/>
              </w:rPr>
            </w:pPr>
            <w:r w:rsidRPr="004C21E2">
              <w:rPr>
                <w:bCs/>
                <w:iCs/>
                <w:lang w:val="en-AU"/>
              </w:rPr>
              <w:t>Clause 6.7.2 (f)</w:t>
            </w:r>
          </w:p>
        </w:tc>
        <w:tc>
          <w:tcPr>
            <w:tcW w:w="7160" w:type="dxa"/>
          </w:tcPr>
          <w:p w14:paraId="212D997F" w14:textId="77777777" w:rsidR="004C21E2" w:rsidRPr="004C21E2" w:rsidRDefault="004C21E2" w:rsidP="009E422B">
            <w:pPr>
              <w:spacing w:after="40"/>
              <w:rPr>
                <w:bCs/>
                <w:iCs/>
                <w:lang w:val="en-AU"/>
              </w:rPr>
            </w:pPr>
            <w:r w:rsidRPr="004C21E2">
              <w:rPr>
                <w:bCs/>
                <w:iCs/>
                <w:lang w:val="en-AU"/>
              </w:rPr>
              <w:t xml:space="preserve">Delete </w:t>
            </w:r>
            <w:r w:rsidRPr="004C21E2">
              <w:rPr>
                <w:b/>
                <w:bCs/>
                <w:i/>
                <w:iCs/>
                <w:u w:val="single"/>
                <w:lang w:val="en-AU"/>
              </w:rPr>
              <w:t>he/she</w:t>
            </w:r>
            <w:r w:rsidRPr="004C21E2">
              <w:rPr>
                <w:bCs/>
                <w:iCs/>
                <w:lang w:val="en-AU"/>
              </w:rPr>
              <w:t xml:space="preserve"> and </w:t>
            </w:r>
            <w:r w:rsidRPr="004C21E2">
              <w:rPr>
                <w:b/>
                <w:i/>
                <w:u w:val="single"/>
                <w:lang w:val="en-AU"/>
              </w:rPr>
              <w:t>his or her</w:t>
            </w:r>
            <w:r w:rsidRPr="004C21E2">
              <w:rPr>
                <w:bCs/>
                <w:iCs/>
                <w:lang w:val="en-AU"/>
              </w:rPr>
              <w:t xml:space="preserve"> and replace with </w:t>
            </w:r>
            <w:r w:rsidRPr="004C21E2">
              <w:rPr>
                <w:b/>
                <w:bCs/>
                <w:i/>
                <w:iCs/>
                <w:u w:val="single"/>
                <w:lang w:val="en-AU"/>
              </w:rPr>
              <w:t>the member</w:t>
            </w:r>
            <w:r w:rsidRPr="004C21E2">
              <w:rPr>
                <w:b/>
                <w:bCs/>
                <w:i/>
                <w:iCs/>
                <w:lang w:val="en-AU"/>
              </w:rPr>
              <w:t xml:space="preserve"> </w:t>
            </w:r>
            <w:r w:rsidRPr="004C21E2">
              <w:rPr>
                <w:i/>
                <w:iCs/>
                <w:lang w:val="en-AU"/>
              </w:rPr>
              <w:t>and</w:t>
            </w:r>
            <w:r w:rsidRPr="004C21E2">
              <w:rPr>
                <w:i/>
                <w:iCs/>
                <w:u w:val="single"/>
                <w:lang w:val="en-AU"/>
              </w:rPr>
              <w:t xml:space="preserve"> </w:t>
            </w:r>
            <w:r w:rsidRPr="004C21E2">
              <w:rPr>
                <w:b/>
                <w:bCs/>
                <w:i/>
                <w:iCs/>
                <w:u w:val="single"/>
                <w:lang w:val="en-AU"/>
              </w:rPr>
              <w:t>the member’s</w:t>
            </w:r>
          </w:p>
        </w:tc>
      </w:tr>
      <w:tr w:rsidR="004C21E2" w:rsidRPr="004C21E2" w14:paraId="0B292305" w14:textId="77777777" w:rsidTr="004C21E2">
        <w:tc>
          <w:tcPr>
            <w:tcW w:w="2802" w:type="dxa"/>
          </w:tcPr>
          <w:p w14:paraId="0BA7CC42" w14:textId="77777777" w:rsidR="004C21E2" w:rsidRPr="004C21E2" w:rsidRDefault="004C21E2" w:rsidP="009E422B">
            <w:pPr>
              <w:spacing w:after="40"/>
              <w:rPr>
                <w:bCs/>
                <w:iCs/>
                <w:lang w:val="en-AU"/>
              </w:rPr>
            </w:pPr>
            <w:r w:rsidRPr="004C21E2">
              <w:rPr>
                <w:bCs/>
                <w:iCs/>
                <w:lang w:val="en-AU"/>
              </w:rPr>
              <w:t>Clause 7.1.6 Introduction</w:t>
            </w:r>
          </w:p>
        </w:tc>
        <w:tc>
          <w:tcPr>
            <w:tcW w:w="7160" w:type="dxa"/>
          </w:tcPr>
          <w:p w14:paraId="3F53C13D" w14:textId="77777777" w:rsidR="004C21E2" w:rsidRPr="004C21E2" w:rsidRDefault="004C21E2" w:rsidP="009E422B">
            <w:pPr>
              <w:spacing w:after="40"/>
              <w:rPr>
                <w:bCs/>
                <w:iCs/>
                <w:lang w:val="en-AU"/>
              </w:rPr>
            </w:pPr>
            <w:r w:rsidRPr="004C21E2">
              <w:rPr>
                <w:bCs/>
                <w:iCs/>
                <w:lang w:val="en-AU"/>
              </w:rPr>
              <w:t xml:space="preserve">Delete </w:t>
            </w:r>
            <w:r w:rsidRPr="004C21E2">
              <w:rPr>
                <w:b/>
                <w:bCs/>
                <w:i/>
                <w:iCs/>
                <w:u w:val="single"/>
                <w:lang w:val="en-AU"/>
              </w:rPr>
              <w:t>he or she</w:t>
            </w:r>
            <w:r w:rsidRPr="004C21E2">
              <w:rPr>
                <w:bCs/>
                <w:iCs/>
                <w:lang w:val="en-AU"/>
              </w:rPr>
              <w:t xml:space="preserve"> and replace with </w:t>
            </w:r>
            <w:r w:rsidRPr="004C21E2">
              <w:rPr>
                <w:b/>
                <w:bCs/>
                <w:i/>
                <w:iCs/>
                <w:u w:val="single"/>
                <w:lang w:val="en-AU"/>
              </w:rPr>
              <w:t>the member</w:t>
            </w:r>
          </w:p>
        </w:tc>
      </w:tr>
      <w:tr w:rsidR="004C21E2" w:rsidRPr="004C21E2" w14:paraId="4CF8484C" w14:textId="77777777" w:rsidTr="004C21E2">
        <w:tc>
          <w:tcPr>
            <w:tcW w:w="2802" w:type="dxa"/>
          </w:tcPr>
          <w:p w14:paraId="443132D6" w14:textId="77777777" w:rsidR="004C21E2" w:rsidRPr="004C21E2" w:rsidRDefault="004C21E2" w:rsidP="009E422B">
            <w:pPr>
              <w:spacing w:after="40"/>
              <w:rPr>
                <w:bCs/>
                <w:iCs/>
                <w:lang w:val="en-AU"/>
              </w:rPr>
            </w:pPr>
            <w:r w:rsidRPr="004C21E2">
              <w:rPr>
                <w:bCs/>
                <w:iCs/>
                <w:lang w:val="en-AU"/>
              </w:rPr>
              <w:t>Clause 7.1.6 (b)</w:t>
            </w:r>
          </w:p>
        </w:tc>
        <w:tc>
          <w:tcPr>
            <w:tcW w:w="7160" w:type="dxa"/>
          </w:tcPr>
          <w:p w14:paraId="2E78022D" w14:textId="77777777" w:rsidR="004C21E2" w:rsidRPr="004C21E2" w:rsidRDefault="004C21E2" w:rsidP="009E422B">
            <w:pPr>
              <w:spacing w:after="40"/>
              <w:rPr>
                <w:bCs/>
                <w:iCs/>
                <w:lang w:val="en-AU"/>
              </w:rPr>
            </w:pPr>
            <w:r w:rsidRPr="004C21E2">
              <w:rPr>
                <w:bCs/>
                <w:iCs/>
                <w:lang w:val="en-AU"/>
              </w:rPr>
              <w:t xml:space="preserve">Delete </w:t>
            </w:r>
            <w:r w:rsidRPr="004C21E2">
              <w:rPr>
                <w:b/>
                <w:bCs/>
                <w:i/>
                <w:iCs/>
                <w:u w:val="single"/>
                <w:lang w:val="en-AU"/>
              </w:rPr>
              <w:t>he or she</w:t>
            </w:r>
            <w:r w:rsidRPr="004C21E2">
              <w:rPr>
                <w:bCs/>
                <w:iCs/>
                <w:lang w:val="en-AU"/>
              </w:rPr>
              <w:t xml:space="preserve"> and replace with </w:t>
            </w:r>
            <w:r w:rsidRPr="004C21E2">
              <w:rPr>
                <w:b/>
                <w:bCs/>
                <w:i/>
                <w:iCs/>
                <w:u w:val="single"/>
                <w:lang w:val="en-AU"/>
              </w:rPr>
              <w:t xml:space="preserve">the member </w:t>
            </w:r>
          </w:p>
        </w:tc>
      </w:tr>
      <w:tr w:rsidR="004C21E2" w:rsidRPr="004C21E2" w14:paraId="2172FBD9" w14:textId="77777777" w:rsidTr="004C21E2">
        <w:tc>
          <w:tcPr>
            <w:tcW w:w="2802" w:type="dxa"/>
          </w:tcPr>
          <w:p w14:paraId="6BFA5E2E" w14:textId="77777777" w:rsidR="004C21E2" w:rsidRPr="004C21E2" w:rsidRDefault="004C21E2" w:rsidP="009E422B">
            <w:pPr>
              <w:spacing w:after="40"/>
              <w:rPr>
                <w:bCs/>
                <w:iCs/>
                <w:lang w:val="en-AU"/>
              </w:rPr>
            </w:pPr>
            <w:r w:rsidRPr="004C21E2">
              <w:rPr>
                <w:bCs/>
                <w:iCs/>
                <w:lang w:val="en-AU"/>
              </w:rPr>
              <w:t>Clause 7.1.8 (a)</w:t>
            </w:r>
          </w:p>
        </w:tc>
        <w:tc>
          <w:tcPr>
            <w:tcW w:w="7160" w:type="dxa"/>
          </w:tcPr>
          <w:p w14:paraId="7EFBEAFE" w14:textId="77777777" w:rsidR="004C21E2" w:rsidRPr="004C21E2" w:rsidRDefault="004C21E2" w:rsidP="009E422B">
            <w:pPr>
              <w:spacing w:after="40"/>
              <w:rPr>
                <w:bCs/>
                <w:iCs/>
                <w:lang w:val="en-AU"/>
              </w:rPr>
            </w:pPr>
            <w:r w:rsidRPr="004C21E2">
              <w:rPr>
                <w:bCs/>
                <w:iCs/>
                <w:lang w:val="en-AU"/>
              </w:rPr>
              <w:t xml:space="preserve">Delete </w:t>
            </w:r>
            <w:r w:rsidRPr="004C21E2">
              <w:rPr>
                <w:b/>
                <w:bCs/>
                <w:i/>
                <w:iCs/>
                <w:u w:val="single"/>
                <w:lang w:val="en-AU"/>
              </w:rPr>
              <w:t>his or her direction</w:t>
            </w:r>
            <w:r w:rsidRPr="004C21E2">
              <w:rPr>
                <w:bCs/>
                <w:iCs/>
                <w:lang w:val="en-AU"/>
              </w:rPr>
              <w:t xml:space="preserve"> and replace </w:t>
            </w:r>
            <w:r w:rsidRPr="004C21E2">
              <w:rPr>
                <w:b/>
                <w:bCs/>
                <w:i/>
                <w:iCs/>
                <w:u w:val="single"/>
                <w:lang w:val="en-AU"/>
              </w:rPr>
              <w:t>with their direction</w:t>
            </w:r>
            <w:r w:rsidRPr="004C21E2">
              <w:rPr>
                <w:bCs/>
                <w:iCs/>
                <w:lang w:val="en-AU"/>
              </w:rPr>
              <w:t xml:space="preserve"> and delete </w:t>
            </w:r>
            <w:r w:rsidRPr="004C21E2">
              <w:rPr>
                <w:b/>
                <w:bCs/>
                <w:i/>
                <w:iCs/>
                <w:u w:val="single"/>
                <w:lang w:val="en-AU"/>
              </w:rPr>
              <w:t>he or she</w:t>
            </w:r>
            <w:r w:rsidRPr="004C21E2">
              <w:rPr>
                <w:bCs/>
                <w:iCs/>
                <w:lang w:val="en-AU"/>
              </w:rPr>
              <w:t xml:space="preserve"> and replace with </w:t>
            </w:r>
            <w:r w:rsidRPr="004C21E2">
              <w:rPr>
                <w:b/>
                <w:bCs/>
                <w:i/>
                <w:iCs/>
                <w:u w:val="single"/>
                <w:lang w:val="en-AU"/>
              </w:rPr>
              <w:t>the member</w:t>
            </w:r>
            <w:r w:rsidRPr="004C21E2">
              <w:rPr>
                <w:bCs/>
                <w:iCs/>
                <w:lang w:val="en-AU"/>
              </w:rPr>
              <w:t>.</w:t>
            </w:r>
          </w:p>
        </w:tc>
      </w:tr>
      <w:tr w:rsidR="004C21E2" w:rsidRPr="004C21E2" w14:paraId="60A9B4A3" w14:textId="77777777" w:rsidTr="004C21E2">
        <w:tc>
          <w:tcPr>
            <w:tcW w:w="2802" w:type="dxa"/>
          </w:tcPr>
          <w:p w14:paraId="53348B1F" w14:textId="77777777" w:rsidR="004C21E2" w:rsidRPr="004C21E2" w:rsidRDefault="004C21E2" w:rsidP="009E422B">
            <w:pPr>
              <w:spacing w:after="40"/>
              <w:rPr>
                <w:bCs/>
                <w:iCs/>
                <w:lang w:val="en-AU"/>
              </w:rPr>
            </w:pPr>
            <w:r w:rsidRPr="004C21E2">
              <w:rPr>
                <w:bCs/>
                <w:iCs/>
                <w:lang w:val="en-AU"/>
              </w:rPr>
              <w:t>Clause 9.4 (b)</w:t>
            </w:r>
          </w:p>
        </w:tc>
        <w:tc>
          <w:tcPr>
            <w:tcW w:w="7160" w:type="dxa"/>
          </w:tcPr>
          <w:p w14:paraId="21CA158E" w14:textId="77777777" w:rsidR="004C21E2" w:rsidRPr="004C21E2" w:rsidRDefault="004C21E2" w:rsidP="009E422B">
            <w:pPr>
              <w:spacing w:after="40"/>
              <w:rPr>
                <w:b/>
                <w:bCs/>
                <w:iCs/>
                <w:u w:val="single"/>
                <w:lang w:val="en-AU"/>
              </w:rPr>
            </w:pPr>
            <w:r w:rsidRPr="004C21E2">
              <w:rPr>
                <w:bCs/>
                <w:iCs/>
                <w:lang w:val="en-AU"/>
              </w:rPr>
              <w:t xml:space="preserve">Delete </w:t>
            </w:r>
            <w:r w:rsidRPr="004C21E2">
              <w:rPr>
                <w:b/>
                <w:bCs/>
                <w:i/>
                <w:iCs/>
                <w:u w:val="single"/>
                <w:lang w:val="en-AU"/>
              </w:rPr>
              <w:t>his or her office</w:t>
            </w:r>
            <w:r w:rsidRPr="004C21E2">
              <w:rPr>
                <w:bCs/>
                <w:iCs/>
                <w:lang w:val="en-AU"/>
              </w:rPr>
              <w:t xml:space="preserve"> and replace with </w:t>
            </w:r>
            <w:r w:rsidRPr="004C21E2">
              <w:rPr>
                <w:b/>
                <w:bCs/>
                <w:iCs/>
                <w:u w:val="single"/>
                <w:lang w:val="en-AU"/>
              </w:rPr>
              <w:t>their office</w:t>
            </w:r>
          </w:p>
        </w:tc>
      </w:tr>
      <w:tr w:rsidR="004C21E2" w:rsidRPr="004C21E2" w14:paraId="56608A6B" w14:textId="77777777" w:rsidTr="004C21E2">
        <w:tc>
          <w:tcPr>
            <w:tcW w:w="2802" w:type="dxa"/>
          </w:tcPr>
          <w:p w14:paraId="6983B910" w14:textId="77777777" w:rsidR="004C21E2" w:rsidRPr="004C21E2" w:rsidRDefault="004C21E2" w:rsidP="009E422B">
            <w:pPr>
              <w:spacing w:after="40"/>
              <w:rPr>
                <w:bCs/>
                <w:iCs/>
                <w:lang w:val="en-AU"/>
              </w:rPr>
            </w:pPr>
            <w:r w:rsidRPr="004C21E2">
              <w:rPr>
                <w:bCs/>
                <w:iCs/>
                <w:lang w:val="en-AU"/>
              </w:rPr>
              <w:t>Clause 9.4 (f)</w:t>
            </w:r>
          </w:p>
        </w:tc>
        <w:tc>
          <w:tcPr>
            <w:tcW w:w="7160" w:type="dxa"/>
          </w:tcPr>
          <w:p w14:paraId="7D5F9192" w14:textId="77777777" w:rsidR="004C21E2" w:rsidRPr="004C21E2" w:rsidRDefault="004C21E2" w:rsidP="009E422B">
            <w:pPr>
              <w:spacing w:after="40"/>
              <w:rPr>
                <w:bCs/>
                <w:iCs/>
                <w:lang w:val="en-AU"/>
              </w:rPr>
            </w:pPr>
            <w:r w:rsidRPr="004C21E2">
              <w:rPr>
                <w:bCs/>
                <w:iCs/>
                <w:lang w:val="en-AU"/>
              </w:rPr>
              <w:t xml:space="preserve">Delete </w:t>
            </w:r>
            <w:r w:rsidRPr="004C21E2">
              <w:rPr>
                <w:b/>
                <w:bCs/>
                <w:i/>
                <w:iCs/>
                <w:u w:val="single"/>
                <w:lang w:val="en-AU"/>
              </w:rPr>
              <w:t>he or she</w:t>
            </w:r>
            <w:r w:rsidRPr="004C21E2">
              <w:rPr>
                <w:bCs/>
                <w:iCs/>
                <w:lang w:val="en-AU"/>
              </w:rPr>
              <w:t xml:space="preserve"> and </w:t>
            </w:r>
            <w:r w:rsidRPr="004C21E2">
              <w:rPr>
                <w:b/>
                <w:i/>
                <w:u w:val="single"/>
                <w:lang w:val="en-AU"/>
              </w:rPr>
              <w:t>his or her</w:t>
            </w:r>
            <w:r w:rsidRPr="004C21E2">
              <w:rPr>
                <w:bCs/>
                <w:iCs/>
                <w:lang w:val="en-AU"/>
              </w:rPr>
              <w:t xml:space="preserve">  replace with </w:t>
            </w:r>
            <w:r w:rsidRPr="004C21E2">
              <w:rPr>
                <w:b/>
                <w:bCs/>
                <w:i/>
                <w:iCs/>
                <w:u w:val="single"/>
                <w:lang w:val="en-AU"/>
              </w:rPr>
              <w:t>the member</w:t>
            </w:r>
            <w:r w:rsidRPr="004C21E2">
              <w:rPr>
                <w:lang w:val="en-AU"/>
              </w:rPr>
              <w:t xml:space="preserve"> and</w:t>
            </w:r>
            <w:r w:rsidRPr="004C21E2">
              <w:rPr>
                <w:b/>
                <w:bCs/>
                <w:i/>
                <w:iCs/>
                <w:u w:val="single"/>
                <w:lang w:val="en-AU"/>
              </w:rPr>
              <w:t xml:space="preserve"> the member’s</w:t>
            </w:r>
          </w:p>
        </w:tc>
      </w:tr>
      <w:tr w:rsidR="004C21E2" w:rsidRPr="004C21E2" w14:paraId="72167878" w14:textId="77777777" w:rsidTr="004C21E2">
        <w:tc>
          <w:tcPr>
            <w:tcW w:w="2802" w:type="dxa"/>
          </w:tcPr>
          <w:p w14:paraId="50AB18CA" w14:textId="77777777" w:rsidR="004C21E2" w:rsidRPr="004C21E2" w:rsidRDefault="004C21E2" w:rsidP="009E422B">
            <w:pPr>
              <w:spacing w:after="40"/>
              <w:rPr>
                <w:bCs/>
                <w:iCs/>
                <w:lang w:val="en-AU"/>
              </w:rPr>
            </w:pPr>
            <w:r w:rsidRPr="004C21E2">
              <w:rPr>
                <w:bCs/>
                <w:iCs/>
                <w:lang w:val="en-AU"/>
              </w:rPr>
              <w:t>Clause 10.4.3</w:t>
            </w:r>
          </w:p>
        </w:tc>
        <w:tc>
          <w:tcPr>
            <w:tcW w:w="7160" w:type="dxa"/>
          </w:tcPr>
          <w:p w14:paraId="4EE2E921" w14:textId="77777777" w:rsidR="004C21E2" w:rsidRPr="004C21E2" w:rsidRDefault="004C21E2" w:rsidP="009E422B">
            <w:pPr>
              <w:spacing w:after="40"/>
              <w:rPr>
                <w:b/>
                <w:bCs/>
                <w:i/>
                <w:u w:val="single"/>
                <w:lang w:val="en-AU"/>
              </w:rPr>
            </w:pPr>
            <w:r w:rsidRPr="004C21E2">
              <w:rPr>
                <w:bCs/>
                <w:iCs/>
                <w:lang w:val="en-AU"/>
              </w:rPr>
              <w:t xml:space="preserve">Delete </w:t>
            </w:r>
            <w:r w:rsidRPr="004C21E2">
              <w:rPr>
                <w:b/>
                <w:bCs/>
                <w:i/>
                <w:u w:val="single"/>
                <w:lang w:val="en-AU"/>
              </w:rPr>
              <w:t>in his or her custody, or under his or her control</w:t>
            </w:r>
            <w:r w:rsidRPr="004C21E2">
              <w:rPr>
                <w:bCs/>
                <w:iCs/>
                <w:lang w:val="en-AU"/>
              </w:rPr>
              <w:t xml:space="preserve"> and replace </w:t>
            </w:r>
            <w:r w:rsidRPr="004C21E2">
              <w:rPr>
                <w:b/>
                <w:bCs/>
                <w:i/>
                <w:u w:val="single"/>
                <w:lang w:val="en-AU"/>
              </w:rPr>
              <w:t>within their custody, or under their control.</w:t>
            </w:r>
          </w:p>
        </w:tc>
      </w:tr>
    </w:tbl>
    <w:p w14:paraId="1983CD18" w14:textId="65DE3898" w:rsidR="002B0B3B" w:rsidRPr="00A764FF" w:rsidRDefault="002B0B3B" w:rsidP="004C21E2">
      <w:pPr>
        <w:spacing w:after="40"/>
        <w:rPr>
          <w:b/>
          <w:bCs/>
          <w:lang w:val="en-AU"/>
        </w:rPr>
      </w:pPr>
    </w:p>
    <w:p w14:paraId="1FB89814" w14:textId="77777777" w:rsidR="004C6BB1" w:rsidRPr="00A764FF" w:rsidRDefault="009C08C7" w:rsidP="00F73713">
      <w:pPr>
        <w:rPr>
          <w:lang w:val="en-AU"/>
        </w:rPr>
      </w:pPr>
      <w:r w:rsidRPr="00A764FF">
        <w:rPr>
          <w:b/>
          <w:bCs/>
          <w:lang w:val="en-AU"/>
        </w:rPr>
        <w:t>(</w:t>
      </w:r>
      <w:r w:rsidR="000D2B49" w:rsidRPr="00A764FF">
        <w:rPr>
          <w:b/>
          <w:bCs/>
          <w:lang w:val="en-AU"/>
        </w:rPr>
        <w:t>d</w:t>
      </w:r>
      <w:r w:rsidR="003C3FC4" w:rsidRPr="00A764FF">
        <w:rPr>
          <w:b/>
          <w:bCs/>
          <w:lang w:val="en-AU"/>
        </w:rPr>
        <w:t>)</w:t>
      </w:r>
      <w:r w:rsidR="003C3FC4" w:rsidRPr="00A764FF">
        <w:rPr>
          <w:lang w:val="en-AU"/>
        </w:rPr>
        <w:t xml:space="preserve"> </w:t>
      </w:r>
      <w:r w:rsidR="003C3FC4" w:rsidRPr="00A764FF">
        <w:rPr>
          <w:b/>
          <w:lang w:val="en-AU"/>
        </w:rPr>
        <w:t>Clause</w:t>
      </w:r>
      <w:r w:rsidRPr="00A764FF">
        <w:rPr>
          <w:b/>
          <w:bCs/>
          <w:lang w:val="en-AU"/>
        </w:rPr>
        <w:t xml:space="preserve"> </w:t>
      </w:r>
      <w:r w:rsidR="003C3FC4" w:rsidRPr="00A764FF">
        <w:rPr>
          <w:b/>
          <w:bCs/>
          <w:lang w:val="en-AU"/>
        </w:rPr>
        <w:t>6.4.4 Voting</w:t>
      </w:r>
      <w:r w:rsidR="003C3FC4" w:rsidRPr="00A764FF">
        <w:rPr>
          <w:lang w:val="en-AU"/>
        </w:rPr>
        <w:t xml:space="preserve"> </w:t>
      </w:r>
    </w:p>
    <w:p w14:paraId="5C5C2D99" w14:textId="77777777" w:rsidR="004C6BB1" w:rsidRPr="00A764FF" w:rsidRDefault="004C6BB1" w:rsidP="00F73713">
      <w:pPr>
        <w:rPr>
          <w:lang w:val="en-AU"/>
        </w:rPr>
      </w:pPr>
    </w:p>
    <w:p w14:paraId="4EFF3B31" w14:textId="07AEEA38" w:rsidR="009C08C7" w:rsidRPr="00A764FF" w:rsidRDefault="003C3FC4" w:rsidP="00F73713">
      <w:pPr>
        <w:rPr>
          <w:lang w:val="en-AU"/>
        </w:rPr>
      </w:pPr>
      <w:r w:rsidRPr="00A764FF">
        <w:rPr>
          <w:lang w:val="en-AU"/>
        </w:rPr>
        <w:t xml:space="preserve">This clause </w:t>
      </w:r>
      <w:r w:rsidR="009C08C7" w:rsidRPr="00A764FF">
        <w:rPr>
          <w:lang w:val="en-AU"/>
        </w:rPr>
        <w:t xml:space="preserve">is misplaced since it concerns voting </w:t>
      </w:r>
      <w:r w:rsidR="005607B2" w:rsidRPr="00A764FF">
        <w:rPr>
          <w:lang w:val="en-AU"/>
        </w:rPr>
        <w:t xml:space="preserve">for Council members </w:t>
      </w:r>
      <w:r w:rsidR="009C08C7" w:rsidRPr="00A764FF">
        <w:rPr>
          <w:lang w:val="en-AU"/>
        </w:rPr>
        <w:t>at an annual general meeting.  Voting at annual general and special general meetings is covered at Clause 7.2.6.</w:t>
      </w:r>
      <w:r w:rsidR="00F73713" w:rsidRPr="00A764FF">
        <w:rPr>
          <w:lang w:val="en-AU"/>
        </w:rPr>
        <w:t xml:space="preserve"> </w:t>
      </w:r>
      <w:r w:rsidR="009C08C7" w:rsidRPr="00A764FF">
        <w:rPr>
          <w:lang w:val="en-AU"/>
        </w:rPr>
        <w:t xml:space="preserve">Accordingly, it is recommended that clause 6.4.4 be </w:t>
      </w:r>
      <w:r w:rsidR="009C08C7" w:rsidRPr="00311DB1">
        <w:rPr>
          <w:i/>
          <w:iCs/>
          <w:lang w:val="en-AU"/>
        </w:rPr>
        <w:t>deleted</w:t>
      </w:r>
      <w:r w:rsidR="009C08C7" w:rsidRPr="00A764FF">
        <w:rPr>
          <w:b/>
          <w:lang w:val="en-AU"/>
        </w:rPr>
        <w:t>.</w:t>
      </w:r>
    </w:p>
    <w:p w14:paraId="72DA3FD9" w14:textId="4BAAD458" w:rsidR="000F3C4D" w:rsidRPr="00A764FF" w:rsidRDefault="000F3C4D" w:rsidP="009C08C7">
      <w:pPr>
        <w:rPr>
          <w:b/>
          <w:lang w:val="en-AU"/>
        </w:rPr>
      </w:pPr>
    </w:p>
    <w:p w14:paraId="72B18CCF" w14:textId="677AF04A" w:rsidR="00A908DF" w:rsidRPr="00A764FF" w:rsidRDefault="000D2B49" w:rsidP="00B8236B">
      <w:pPr>
        <w:rPr>
          <w:lang w:val="en-AU"/>
        </w:rPr>
      </w:pPr>
      <w:r w:rsidRPr="00A764FF">
        <w:rPr>
          <w:b/>
          <w:bCs/>
          <w:lang w:val="en-AU"/>
        </w:rPr>
        <w:t>(e</w:t>
      </w:r>
      <w:r w:rsidR="00A908DF" w:rsidRPr="00A764FF">
        <w:rPr>
          <w:b/>
          <w:bCs/>
          <w:lang w:val="en-AU"/>
        </w:rPr>
        <w:t>)</w:t>
      </w:r>
      <w:r w:rsidR="00E83487" w:rsidRPr="00A764FF">
        <w:rPr>
          <w:lang w:val="en-AU"/>
        </w:rPr>
        <w:t xml:space="preserve"> </w:t>
      </w:r>
      <w:r w:rsidR="00A908DF" w:rsidRPr="00A764FF">
        <w:rPr>
          <w:lang w:val="en-AU"/>
        </w:rPr>
        <w:t xml:space="preserve">Two clauses currently refer to a person ceasing to be a member of Council, or the Public Officer, if he/she “suffers from mental or physical incapacity”.  This phrasing is </w:t>
      </w:r>
      <w:r w:rsidR="00E83487" w:rsidRPr="00A764FF">
        <w:rPr>
          <w:lang w:val="en-AU"/>
        </w:rPr>
        <w:t xml:space="preserve">not in line with ACT legislation and </w:t>
      </w:r>
      <w:r w:rsidR="00A908DF" w:rsidRPr="00A764FF">
        <w:rPr>
          <w:lang w:val="en-AU"/>
        </w:rPr>
        <w:t xml:space="preserve">it is recommended that the </w:t>
      </w:r>
      <w:r w:rsidR="00A908DF" w:rsidRPr="00311DB1">
        <w:rPr>
          <w:lang w:val="en-AU"/>
        </w:rPr>
        <w:t xml:space="preserve">references be </w:t>
      </w:r>
      <w:r w:rsidR="00A908DF" w:rsidRPr="00311DB1">
        <w:rPr>
          <w:i/>
          <w:iCs/>
          <w:lang w:val="en-AU"/>
        </w:rPr>
        <w:t>changed</w:t>
      </w:r>
      <w:r w:rsidR="00A908DF" w:rsidRPr="00A764FF">
        <w:rPr>
          <w:lang w:val="en-AU"/>
        </w:rPr>
        <w:t xml:space="preserve"> as follows:</w:t>
      </w:r>
    </w:p>
    <w:p w14:paraId="2073DBEF" w14:textId="77777777" w:rsidR="00A908DF" w:rsidRPr="00A764FF" w:rsidRDefault="00A908DF" w:rsidP="00A908DF">
      <w:pPr>
        <w:rPr>
          <w:lang w:val="en-AU"/>
        </w:rPr>
      </w:pPr>
    </w:p>
    <w:p w14:paraId="34228082" w14:textId="194563C8" w:rsidR="00A530AD" w:rsidRPr="00A764FF" w:rsidRDefault="00A908DF" w:rsidP="00A908DF">
      <w:pPr>
        <w:ind w:left="720"/>
        <w:rPr>
          <w:b/>
          <w:i/>
          <w:iCs/>
          <w:lang w:val="en-AU"/>
        </w:rPr>
      </w:pPr>
      <w:r w:rsidRPr="00A764FF">
        <w:rPr>
          <w:b/>
          <w:bCs/>
          <w:i/>
          <w:iCs/>
          <w:lang w:val="en-AU"/>
        </w:rPr>
        <w:t xml:space="preserve">Clause </w:t>
      </w:r>
      <w:r w:rsidR="008C68DC" w:rsidRPr="00A764FF">
        <w:rPr>
          <w:b/>
          <w:bCs/>
          <w:i/>
          <w:iCs/>
          <w:lang w:val="en-AU"/>
        </w:rPr>
        <w:t>6.7.2</w:t>
      </w:r>
      <w:r w:rsidR="008C68DC" w:rsidRPr="00A764FF">
        <w:rPr>
          <w:b/>
          <w:i/>
          <w:iCs/>
          <w:lang w:val="en-AU"/>
        </w:rPr>
        <w:t xml:space="preserve"> A</w:t>
      </w:r>
      <w:r w:rsidRPr="00A764FF">
        <w:rPr>
          <w:b/>
          <w:i/>
          <w:iCs/>
          <w:lang w:val="en-AU"/>
        </w:rPr>
        <w:t xml:space="preserve"> person shall cease to be a member of Council</w:t>
      </w:r>
      <w:r w:rsidR="00E83487" w:rsidRPr="00A764FF">
        <w:rPr>
          <w:b/>
          <w:i/>
          <w:iCs/>
          <w:lang w:val="en-AU"/>
        </w:rPr>
        <w:t xml:space="preserve"> if the person</w:t>
      </w:r>
      <w:r w:rsidR="00A530AD" w:rsidRPr="00A764FF">
        <w:rPr>
          <w:b/>
          <w:i/>
          <w:iCs/>
          <w:lang w:val="en-AU"/>
        </w:rPr>
        <w:t>:</w:t>
      </w:r>
    </w:p>
    <w:p w14:paraId="1B041F78" w14:textId="7261443C" w:rsidR="00A908DF" w:rsidRPr="00A764FF" w:rsidRDefault="00A908DF" w:rsidP="00A908DF">
      <w:pPr>
        <w:ind w:left="720"/>
        <w:rPr>
          <w:b/>
          <w:i/>
          <w:iCs/>
          <w:lang w:val="en-AU"/>
        </w:rPr>
      </w:pPr>
      <w:r w:rsidRPr="00A764FF">
        <w:rPr>
          <w:b/>
          <w:i/>
          <w:iCs/>
          <w:lang w:val="en-AU"/>
        </w:rPr>
        <w:t xml:space="preserve">(e) is </w:t>
      </w:r>
      <w:r w:rsidR="00E83487" w:rsidRPr="00A764FF">
        <w:rPr>
          <w:b/>
          <w:i/>
          <w:iCs/>
          <w:lang w:val="en-AU"/>
        </w:rPr>
        <w:t>not physically or mentally fit to exercise the functions of office;</w:t>
      </w:r>
    </w:p>
    <w:p w14:paraId="7D0A8D5A" w14:textId="77777777" w:rsidR="00E83487" w:rsidRPr="00A764FF" w:rsidRDefault="00E83487" w:rsidP="00A908DF">
      <w:pPr>
        <w:ind w:left="720"/>
        <w:rPr>
          <w:b/>
          <w:i/>
          <w:iCs/>
          <w:lang w:val="en-AU"/>
        </w:rPr>
      </w:pPr>
    </w:p>
    <w:p w14:paraId="5DBFFDF4" w14:textId="77777777" w:rsidR="00A530AD" w:rsidRPr="00A764FF" w:rsidRDefault="00A908DF" w:rsidP="00A908DF">
      <w:pPr>
        <w:ind w:left="720"/>
        <w:rPr>
          <w:b/>
          <w:i/>
          <w:iCs/>
          <w:lang w:val="en-AU"/>
        </w:rPr>
      </w:pPr>
      <w:r w:rsidRPr="00A764FF">
        <w:rPr>
          <w:b/>
          <w:bCs/>
          <w:i/>
          <w:iCs/>
          <w:lang w:val="en-AU"/>
        </w:rPr>
        <w:t>Clause 9.4</w:t>
      </w:r>
      <w:r w:rsidRPr="00A764FF">
        <w:rPr>
          <w:b/>
          <w:i/>
          <w:iCs/>
          <w:lang w:val="en-AU"/>
        </w:rPr>
        <w:t xml:space="preserve"> Groun</w:t>
      </w:r>
      <w:r w:rsidR="00A530AD" w:rsidRPr="00A764FF">
        <w:rPr>
          <w:b/>
          <w:i/>
          <w:iCs/>
          <w:lang w:val="en-AU"/>
        </w:rPr>
        <w:t xml:space="preserve">ds for Office Becoming Vacant </w:t>
      </w:r>
    </w:p>
    <w:p w14:paraId="7282B73E" w14:textId="7DD234C8" w:rsidR="00A530AD" w:rsidRPr="00A764FF" w:rsidRDefault="00A908DF" w:rsidP="00A908DF">
      <w:pPr>
        <w:ind w:left="720"/>
        <w:rPr>
          <w:b/>
          <w:i/>
          <w:iCs/>
          <w:lang w:val="en-AU"/>
        </w:rPr>
      </w:pPr>
      <w:r w:rsidRPr="00A764FF">
        <w:rPr>
          <w:b/>
          <w:i/>
          <w:iCs/>
          <w:lang w:val="en-AU"/>
        </w:rPr>
        <w:t>The office of Public Officer becomes vacant if the person holding that office</w:t>
      </w:r>
    </w:p>
    <w:p w14:paraId="08380F98" w14:textId="1883AD95" w:rsidR="00A908DF" w:rsidRPr="00A764FF" w:rsidRDefault="00A908DF" w:rsidP="00A908DF">
      <w:pPr>
        <w:ind w:left="720"/>
        <w:rPr>
          <w:b/>
          <w:i/>
          <w:iCs/>
          <w:lang w:val="en-AU"/>
        </w:rPr>
      </w:pPr>
      <w:r w:rsidRPr="00A764FF">
        <w:rPr>
          <w:b/>
          <w:i/>
          <w:iCs/>
          <w:lang w:val="en-AU"/>
        </w:rPr>
        <w:t xml:space="preserve">(e) is </w:t>
      </w:r>
      <w:r w:rsidR="00E83487" w:rsidRPr="00A764FF">
        <w:rPr>
          <w:b/>
          <w:i/>
          <w:iCs/>
          <w:lang w:val="en-AU"/>
        </w:rPr>
        <w:t>not physically or mentally fit to exercise the functions of office;</w:t>
      </w:r>
    </w:p>
    <w:p w14:paraId="69BAFB41" w14:textId="77777777" w:rsidR="00A908DF" w:rsidRPr="00A764FF" w:rsidRDefault="00A908DF" w:rsidP="00A908DF">
      <w:pPr>
        <w:rPr>
          <w:lang w:val="en-AU"/>
        </w:rPr>
      </w:pPr>
    </w:p>
    <w:p w14:paraId="336AE753" w14:textId="255647B1" w:rsidR="00A84752" w:rsidRPr="00A764FF" w:rsidRDefault="000D2B49" w:rsidP="00A908DF">
      <w:pPr>
        <w:rPr>
          <w:b/>
          <w:bCs/>
          <w:lang w:val="en-AU"/>
        </w:rPr>
      </w:pPr>
      <w:r w:rsidRPr="00A764FF">
        <w:rPr>
          <w:b/>
          <w:bCs/>
          <w:lang w:val="en-AU"/>
        </w:rPr>
        <w:t>(f</w:t>
      </w:r>
      <w:r w:rsidR="00A908DF" w:rsidRPr="00A764FF">
        <w:rPr>
          <w:b/>
          <w:bCs/>
          <w:lang w:val="en-AU"/>
        </w:rPr>
        <w:t>)</w:t>
      </w:r>
      <w:r w:rsidR="00E83487" w:rsidRPr="00A764FF">
        <w:rPr>
          <w:lang w:val="en-AU"/>
        </w:rPr>
        <w:t xml:space="preserve"> </w:t>
      </w:r>
      <w:r w:rsidR="00A84752" w:rsidRPr="00A764FF">
        <w:rPr>
          <w:b/>
          <w:bCs/>
          <w:lang w:val="en-AU"/>
        </w:rPr>
        <w:t>Public Fund</w:t>
      </w:r>
    </w:p>
    <w:p w14:paraId="7A0908BF" w14:textId="77777777" w:rsidR="00A84752" w:rsidRPr="00A764FF" w:rsidRDefault="00A84752" w:rsidP="00A908DF">
      <w:pPr>
        <w:rPr>
          <w:lang w:val="en-AU"/>
        </w:rPr>
      </w:pPr>
    </w:p>
    <w:p w14:paraId="4545DFEE" w14:textId="0A32635A" w:rsidR="00A908DF" w:rsidRPr="00A764FF" w:rsidRDefault="00A908DF" w:rsidP="00A908DF">
      <w:pPr>
        <w:rPr>
          <w:u w:val="single"/>
          <w:lang w:val="en-AU"/>
        </w:rPr>
      </w:pPr>
      <w:r w:rsidRPr="00A764FF">
        <w:rPr>
          <w:lang w:val="en-AU"/>
        </w:rPr>
        <w:t xml:space="preserve">Some confusion </w:t>
      </w:r>
      <w:r w:rsidR="00A84752" w:rsidRPr="00A764FF">
        <w:rPr>
          <w:lang w:val="en-AU"/>
        </w:rPr>
        <w:t>has</w:t>
      </w:r>
      <w:r w:rsidRPr="00A764FF">
        <w:rPr>
          <w:lang w:val="en-AU"/>
        </w:rPr>
        <w:t xml:space="preserve"> arise</w:t>
      </w:r>
      <w:r w:rsidR="00A84752" w:rsidRPr="00A764FF">
        <w:rPr>
          <w:lang w:val="en-AU"/>
        </w:rPr>
        <w:t>n</w:t>
      </w:r>
      <w:r w:rsidRPr="00A764FF">
        <w:rPr>
          <w:lang w:val="en-AU"/>
        </w:rPr>
        <w:t xml:space="preserve"> about the rules governing the Public Fund. </w:t>
      </w:r>
      <w:r w:rsidR="003A5B0A" w:rsidRPr="00A764FF">
        <w:rPr>
          <w:lang w:val="en-AU"/>
        </w:rPr>
        <w:t>R</w:t>
      </w:r>
      <w:r w:rsidR="00B0025F" w:rsidRPr="00A764FF">
        <w:rPr>
          <w:lang w:val="en-AU"/>
        </w:rPr>
        <w:t xml:space="preserve">ecent advice from the REO </w:t>
      </w:r>
      <w:r w:rsidR="003A5B0A" w:rsidRPr="00A764FF">
        <w:rPr>
          <w:lang w:val="en-AU"/>
        </w:rPr>
        <w:t xml:space="preserve">confirms that it is the Friends of the ANBG </w:t>
      </w:r>
      <w:r w:rsidR="00CF20C9" w:rsidRPr="00A764FF">
        <w:rPr>
          <w:lang w:val="en-AU"/>
        </w:rPr>
        <w:t xml:space="preserve">Public </w:t>
      </w:r>
      <w:r w:rsidR="003A5B0A" w:rsidRPr="00A764FF">
        <w:rPr>
          <w:lang w:val="en-AU"/>
        </w:rPr>
        <w:t xml:space="preserve">Fund that has DGR status and not the Public Fund Trust.  The </w:t>
      </w:r>
      <w:r w:rsidR="00B0025F" w:rsidRPr="00A764FF">
        <w:rPr>
          <w:lang w:val="en-AU"/>
        </w:rPr>
        <w:t xml:space="preserve">use of </w:t>
      </w:r>
      <w:r w:rsidR="008A168D" w:rsidRPr="00A764FF">
        <w:rPr>
          <w:lang w:val="en-AU"/>
        </w:rPr>
        <w:t>tax-deductible</w:t>
      </w:r>
      <w:r w:rsidR="00E83487" w:rsidRPr="00A764FF">
        <w:rPr>
          <w:lang w:val="en-AU"/>
        </w:rPr>
        <w:t xml:space="preserve"> donations </w:t>
      </w:r>
      <w:r w:rsidR="00B0025F" w:rsidRPr="00A764FF">
        <w:rPr>
          <w:lang w:val="en-AU"/>
        </w:rPr>
        <w:t xml:space="preserve">to the Public Fund </w:t>
      </w:r>
      <w:r w:rsidR="003A5B0A" w:rsidRPr="00A764FF">
        <w:rPr>
          <w:lang w:val="en-AU"/>
        </w:rPr>
        <w:t xml:space="preserve">must be for its </w:t>
      </w:r>
      <w:r w:rsidR="00B0025F" w:rsidRPr="00A764FF">
        <w:rPr>
          <w:lang w:val="en-AU"/>
        </w:rPr>
        <w:t>principal purpose</w:t>
      </w:r>
      <w:r w:rsidR="009529EB" w:rsidRPr="00A764FF">
        <w:rPr>
          <w:lang w:val="en-AU"/>
        </w:rPr>
        <w:t>.</w:t>
      </w:r>
      <w:r w:rsidR="00E83487" w:rsidRPr="00A764FF">
        <w:rPr>
          <w:lang w:val="en-AU"/>
        </w:rPr>
        <w:t xml:space="preserve"> </w:t>
      </w:r>
      <w:r w:rsidR="00FB20F7" w:rsidRPr="00A764FF">
        <w:rPr>
          <w:lang w:val="en-AU"/>
        </w:rPr>
        <w:t xml:space="preserve">At present </w:t>
      </w:r>
      <w:r w:rsidR="008A168D" w:rsidRPr="00A764FF">
        <w:rPr>
          <w:lang w:val="en-AU"/>
        </w:rPr>
        <w:t xml:space="preserve">the specific purpose of </w:t>
      </w:r>
      <w:r w:rsidR="00FB20F7" w:rsidRPr="00A764FF">
        <w:rPr>
          <w:lang w:val="en-AU"/>
        </w:rPr>
        <w:t xml:space="preserve">the Fund is to </w:t>
      </w:r>
      <w:r w:rsidR="008A168D" w:rsidRPr="00A764FF">
        <w:rPr>
          <w:lang w:val="en-AU"/>
        </w:rPr>
        <w:t>support the environmental purposes and objectives of the Friends</w:t>
      </w:r>
      <w:r w:rsidR="00FB20F7" w:rsidRPr="00A764FF">
        <w:rPr>
          <w:lang w:val="en-AU"/>
        </w:rPr>
        <w:t xml:space="preserve">.  </w:t>
      </w:r>
      <w:r w:rsidR="00E83487" w:rsidRPr="00A764FF">
        <w:rPr>
          <w:lang w:val="en-AU"/>
        </w:rPr>
        <w:t>The objectives of the Friends are broader</w:t>
      </w:r>
      <w:r w:rsidR="009529EB" w:rsidRPr="00A764FF">
        <w:rPr>
          <w:lang w:val="en-AU"/>
        </w:rPr>
        <w:t xml:space="preserve"> than the mandatory principal purpose set out in the REO Guidelines</w:t>
      </w:r>
      <w:r w:rsidR="0020110B" w:rsidRPr="00A764FF">
        <w:rPr>
          <w:lang w:val="en-AU"/>
        </w:rPr>
        <w:t xml:space="preserve">. </w:t>
      </w:r>
      <w:r w:rsidR="007A7454" w:rsidRPr="00A764FF">
        <w:rPr>
          <w:lang w:val="en-AU"/>
        </w:rPr>
        <w:t>It</w:t>
      </w:r>
      <w:r w:rsidRPr="00A764FF">
        <w:rPr>
          <w:lang w:val="en-AU"/>
        </w:rPr>
        <w:t xml:space="preserve"> is accordingly suggested that the </w:t>
      </w:r>
      <w:r w:rsidR="004F0E78" w:rsidRPr="00A764FF">
        <w:rPr>
          <w:lang w:val="en-AU"/>
        </w:rPr>
        <w:t xml:space="preserve">following </w:t>
      </w:r>
      <w:r w:rsidRPr="00A764FF">
        <w:rPr>
          <w:lang w:val="en-AU"/>
        </w:rPr>
        <w:t>clause</w:t>
      </w:r>
      <w:r w:rsidR="004F0E78" w:rsidRPr="00A764FF">
        <w:rPr>
          <w:lang w:val="en-AU"/>
        </w:rPr>
        <w:t>s</w:t>
      </w:r>
      <w:r w:rsidRPr="00A764FF">
        <w:rPr>
          <w:lang w:val="en-AU"/>
        </w:rPr>
        <w:t xml:space="preserve"> be </w:t>
      </w:r>
      <w:r w:rsidRPr="00311DB1">
        <w:rPr>
          <w:i/>
          <w:iCs/>
          <w:lang w:val="en-AU"/>
        </w:rPr>
        <w:t>changed</w:t>
      </w:r>
      <w:r w:rsidR="00E83487" w:rsidRPr="00A764FF">
        <w:rPr>
          <w:b/>
          <w:lang w:val="en-AU"/>
        </w:rPr>
        <w:t xml:space="preserve"> </w:t>
      </w:r>
      <w:r w:rsidR="004F0E78" w:rsidRPr="00A764FF">
        <w:rPr>
          <w:bCs/>
          <w:lang w:val="en-AU"/>
        </w:rPr>
        <w:t>a</w:t>
      </w:r>
      <w:r w:rsidR="008A168D" w:rsidRPr="00A764FF">
        <w:rPr>
          <w:bCs/>
          <w:lang w:val="en-AU"/>
        </w:rPr>
        <w:t xml:space="preserve">s </w:t>
      </w:r>
      <w:r w:rsidR="002C6F06" w:rsidRPr="00A764FF">
        <w:rPr>
          <w:bCs/>
          <w:lang w:val="en-AU"/>
        </w:rPr>
        <w:t xml:space="preserve">this </w:t>
      </w:r>
      <w:r w:rsidR="00193A69" w:rsidRPr="00A764FF">
        <w:rPr>
          <w:bCs/>
          <w:lang w:val="en-AU"/>
        </w:rPr>
        <w:t xml:space="preserve">is </w:t>
      </w:r>
      <w:r w:rsidR="007B71F9" w:rsidRPr="00A764FF">
        <w:rPr>
          <w:bCs/>
          <w:lang w:val="en-AU"/>
        </w:rPr>
        <w:t xml:space="preserve">a </w:t>
      </w:r>
      <w:r w:rsidR="002C6F06" w:rsidRPr="00A764FF">
        <w:rPr>
          <w:bCs/>
          <w:lang w:val="en-AU"/>
        </w:rPr>
        <w:t>Commonwealth requirement</w:t>
      </w:r>
      <w:r w:rsidR="001C2D30" w:rsidRPr="00A764FF">
        <w:rPr>
          <w:b/>
          <w:lang w:val="en-AU"/>
        </w:rPr>
        <w:t>:</w:t>
      </w:r>
    </w:p>
    <w:p w14:paraId="24AC75D8" w14:textId="77777777" w:rsidR="00A908DF" w:rsidRPr="00A764FF" w:rsidRDefault="00A908DF" w:rsidP="00A908DF">
      <w:pPr>
        <w:rPr>
          <w:lang w:val="en-AU"/>
        </w:rPr>
      </w:pPr>
    </w:p>
    <w:p w14:paraId="3D6CFC09" w14:textId="77777777" w:rsidR="00FB20F7" w:rsidRPr="00A764FF" w:rsidRDefault="00FB20F7" w:rsidP="004F0E78">
      <w:pPr>
        <w:ind w:left="720"/>
        <w:rPr>
          <w:b/>
          <w:bCs/>
          <w:i/>
          <w:iCs/>
          <w:lang w:val="en-AU"/>
        </w:rPr>
      </w:pPr>
    </w:p>
    <w:p w14:paraId="41D3CF9A" w14:textId="1D81A3F2" w:rsidR="004A42C5" w:rsidRPr="00A764FF" w:rsidRDefault="004F0E78" w:rsidP="004F0E78">
      <w:pPr>
        <w:ind w:left="720"/>
        <w:rPr>
          <w:b/>
          <w:bCs/>
          <w:i/>
          <w:iCs/>
          <w:lang w:val="en-AU"/>
        </w:rPr>
      </w:pPr>
      <w:r w:rsidRPr="00A764FF">
        <w:rPr>
          <w:b/>
          <w:bCs/>
          <w:i/>
          <w:iCs/>
          <w:lang w:val="en-AU"/>
        </w:rPr>
        <w:t xml:space="preserve">Clause </w:t>
      </w:r>
      <w:r w:rsidR="004268F8" w:rsidRPr="00A764FF">
        <w:rPr>
          <w:b/>
          <w:bCs/>
          <w:i/>
          <w:iCs/>
          <w:lang w:val="en-AU"/>
        </w:rPr>
        <w:t>6.1</w:t>
      </w:r>
      <w:r w:rsidRPr="00A764FF">
        <w:rPr>
          <w:b/>
          <w:bCs/>
          <w:i/>
          <w:iCs/>
          <w:lang w:val="en-AU"/>
        </w:rPr>
        <w:t xml:space="preserve"> </w:t>
      </w:r>
      <w:r w:rsidR="004A42C5" w:rsidRPr="00A764FF">
        <w:rPr>
          <w:b/>
          <w:bCs/>
          <w:i/>
          <w:iCs/>
          <w:lang w:val="en-AU"/>
        </w:rPr>
        <w:t>The Council …</w:t>
      </w:r>
    </w:p>
    <w:p w14:paraId="55E49D46" w14:textId="101B4A12" w:rsidR="004268F8" w:rsidRPr="00A764FF" w:rsidRDefault="004268F8" w:rsidP="004F0E78">
      <w:pPr>
        <w:ind w:left="720"/>
        <w:rPr>
          <w:b/>
          <w:bCs/>
          <w:i/>
          <w:iCs/>
          <w:lang w:val="en-AU"/>
        </w:rPr>
      </w:pPr>
      <w:r w:rsidRPr="00A764FF">
        <w:rPr>
          <w:b/>
          <w:bCs/>
          <w:i/>
          <w:iCs/>
          <w:lang w:val="en-AU"/>
        </w:rPr>
        <w:t>(c)</w:t>
      </w:r>
      <w:r w:rsidR="004A42C5" w:rsidRPr="00A764FF">
        <w:rPr>
          <w:b/>
          <w:bCs/>
          <w:i/>
          <w:iCs/>
          <w:lang w:val="en-AU"/>
        </w:rPr>
        <w:t xml:space="preserve"> has the power to perform all acts and do all things that appear to the Council to be necessary or desirable for the proper and effective management of the affairs of the Friends, including, but not limited to, the administration of the Public Fund in accordance with its</w:t>
      </w:r>
      <w:r w:rsidR="004A42C5" w:rsidRPr="00A764FF">
        <w:rPr>
          <w:b/>
          <w:bCs/>
          <w:i/>
          <w:iCs/>
          <w:u w:val="single"/>
          <w:lang w:val="en-AU"/>
        </w:rPr>
        <w:t xml:space="preserve"> principal purpose</w:t>
      </w:r>
      <w:r w:rsidR="004A42C5" w:rsidRPr="00A764FF">
        <w:rPr>
          <w:b/>
          <w:bCs/>
          <w:i/>
          <w:iCs/>
          <w:lang w:val="en-AU"/>
        </w:rPr>
        <w:t>; and</w:t>
      </w:r>
    </w:p>
    <w:p w14:paraId="43A21739" w14:textId="77777777" w:rsidR="004268F8" w:rsidRPr="00A764FF" w:rsidRDefault="004268F8" w:rsidP="004F0E78">
      <w:pPr>
        <w:ind w:left="720"/>
        <w:rPr>
          <w:b/>
          <w:bCs/>
          <w:i/>
          <w:iCs/>
          <w:lang w:val="en-AU"/>
        </w:rPr>
      </w:pPr>
    </w:p>
    <w:p w14:paraId="3BDB3AF9" w14:textId="77777777" w:rsidR="004910D0" w:rsidRPr="00A764FF" w:rsidRDefault="004268F8" w:rsidP="004F0E78">
      <w:pPr>
        <w:ind w:left="720"/>
        <w:rPr>
          <w:b/>
          <w:bCs/>
          <w:i/>
          <w:iCs/>
          <w:lang w:val="en-AU"/>
        </w:rPr>
      </w:pPr>
      <w:r w:rsidRPr="00A764FF">
        <w:rPr>
          <w:b/>
          <w:bCs/>
          <w:i/>
          <w:iCs/>
          <w:lang w:val="en-AU"/>
        </w:rPr>
        <w:t xml:space="preserve">Clause 11.1 (a) </w:t>
      </w:r>
      <w:r w:rsidR="004F0E78" w:rsidRPr="00A764FF">
        <w:rPr>
          <w:b/>
          <w:bCs/>
          <w:i/>
          <w:iCs/>
          <w:lang w:val="en-AU"/>
        </w:rPr>
        <w:t xml:space="preserve">The Friends shall establish and maintain a public fund called the “Friends of the ANBG Public Fund” for the </w:t>
      </w:r>
      <w:r w:rsidR="00CA1704" w:rsidRPr="00A764FF">
        <w:rPr>
          <w:b/>
          <w:bCs/>
          <w:i/>
          <w:iCs/>
          <w:u w:val="single"/>
          <w:lang w:val="en-AU"/>
        </w:rPr>
        <w:t>principal</w:t>
      </w:r>
      <w:r w:rsidR="004F0E78" w:rsidRPr="00A764FF">
        <w:rPr>
          <w:b/>
          <w:bCs/>
          <w:i/>
          <w:iCs/>
          <w:u w:val="single"/>
          <w:lang w:val="en-AU"/>
        </w:rPr>
        <w:t xml:space="preserve"> purpose</w:t>
      </w:r>
      <w:r w:rsidR="004F0E78" w:rsidRPr="00A764FF">
        <w:rPr>
          <w:b/>
          <w:bCs/>
          <w:i/>
          <w:iCs/>
          <w:lang w:val="en-AU"/>
        </w:rPr>
        <w:t xml:space="preserve"> of</w:t>
      </w:r>
      <w:r w:rsidR="004910D0" w:rsidRPr="00A764FF">
        <w:rPr>
          <w:b/>
          <w:bCs/>
          <w:i/>
          <w:iCs/>
          <w:lang w:val="en-AU"/>
        </w:rPr>
        <w:t>:</w:t>
      </w:r>
    </w:p>
    <w:p w14:paraId="29E61C64" w14:textId="23A958A3" w:rsidR="004910D0" w:rsidRPr="00A764FF" w:rsidRDefault="004910D0" w:rsidP="0036733B">
      <w:pPr>
        <w:ind w:left="1440"/>
        <w:rPr>
          <w:b/>
          <w:bCs/>
          <w:i/>
          <w:iCs/>
          <w:lang w:val="en-AU"/>
        </w:rPr>
      </w:pPr>
      <w:r w:rsidRPr="00A764FF">
        <w:rPr>
          <w:b/>
          <w:bCs/>
          <w:i/>
          <w:iCs/>
          <w:lang w:val="en-AU"/>
        </w:rPr>
        <w:t>(</w:t>
      </w:r>
      <w:proofErr w:type="spellStart"/>
      <w:r w:rsidRPr="00A764FF">
        <w:rPr>
          <w:b/>
          <w:bCs/>
          <w:i/>
          <w:iCs/>
          <w:lang w:val="en-AU"/>
        </w:rPr>
        <w:t>i</w:t>
      </w:r>
      <w:proofErr w:type="spellEnd"/>
      <w:r w:rsidRPr="00A764FF">
        <w:rPr>
          <w:b/>
          <w:bCs/>
          <w:i/>
          <w:iCs/>
          <w:lang w:val="en-AU"/>
        </w:rPr>
        <w:t>) the protection and enhancement of the natural environment or of a significant aspect of the natural environment; or</w:t>
      </w:r>
    </w:p>
    <w:p w14:paraId="1D3618A0" w14:textId="07DDC0CE" w:rsidR="00193A69" w:rsidRPr="00A764FF" w:rsidRDefault="004910D0" w:rsidP="0036733B">
      <w:pPr>
        <w:ind w:left="1440"/>
        <w:rPr>
          <w:b/>
          <w:bCs/>
          <w:i/>
          <w:iCs/>
          <w:lang w:val="en-AU"/>
        </w:rPr>
      </w:pPr>
      <w:r w:rsidRPr="00A764FF">
        <w:rPr>
          <w:b/>
          <w:bCs/>
          <w:i/>
          <w:iCs/>
          <w:lang w:val="en-AU"/>
        </w:rPr>
        <w:t xml:space="preserve">(ii) the provision of information </w:t>
      </w:r>
      <w:r w:rsidR="0036733B" w:rsidRPr="00A764FF">
        <w:rPr>
          <w:b/>
          <w:bCs/>
          <w:i/>
          <w:iCs/>
          <w:lang w:val="en-AU"/>
        </w:rPr>
        <w:t>or education, or the carrying on of research, about the natural environment or a significant aspect of the natural environment</w:t>
      </w:r>
      <w:r w:rsidR="00193A69" w:rsidRPr="00A764FF">
        <w:rPr>
          <w:b/>
          <w:bCs/>
          <w:i/>
          <w:iCs/>
          <w:lang w:val="en-AU"/>
        </w:rPr>
        <w:t>.</w:t>
      </w:r>
    </w:p>
    <w:p w14:paraId="1C2CCECF" w14:textId="77777777" w:rsidR="00F65192" w:rsidRPr="00A764FF" w:rsidRDefault="00F65192" w:rsidP="004F0E78">
      <w:pPr>
        <w:ind w:left="720"/>
        <w:rPr>
          <w:b/>
          <w:bCs/>
          <w:i/>
          <w:iCs/>
          <w:lang w:val="en-AU"/>
        </w:rPr>
      </w:pPr>
    </w:p>
    <w:p w14:paraId="5242F958" w14:textId="2378CCB5" w:rsidR="004F0E78" w:rsidRPr="00A764FF" w:rsidRDefault="004F0E78" w:rsidP="004F0E78">
      <w:pPr>
        <w:ind w:left="720"/>
        <w:rPr>
          <w:b/>
          <w:bCs/>
          <w:i/>
          <w:iCs/>
          <w:lang w:val="en-AU"/>
        </w:rPr>
      </w:pPr>
      <w:r w:rsidRPr="00A764FF">
        <w:rPr>
          <w:b/>
          <w:bCs/>
          <w:i/>
          <w:iCs/>
          <w:lang w:val="en-AU"/>
        </w:rPr>
        <w:t>Clause 11.3 Ministerial Rules</w:t>
      </w:r>
    </w:p>
    <w:p w14:paraId="6E647870" w14:textId="6359463D" w:rsidR="004F0E78" w:rsidRPr="00A764FF" w:rsidRDefault="004F0E78" w:rsidP="004F0E78">
      <w:pPr>
        <w:ind w:left="720"/>
        <w:rPr>
          <w:b/>
          <w:bCs/>
          <w:i/>
          <w:iCs/>
          <w:lang w:val="en-AU"/>
        </w:rPr>
      </w:pPr>
      <w:r w:rsidRPr="00A764FF">
        <w:rPr>
          <w:b/>
          <w:bCs/>
          <w:i/>
          <w:iCs/>
          <w:lang w:val="en-AU"/>
        </w:rPr>
        <w:t xml:space="preserve">The Friends agree to comply with all rules made by the Commonwealth Treasurer and the Minister with responsibility for the environment to ensure that gifts made to the Public Fund are only used for </w:t>
      </w:r>
      <w:r w:rsidR="00CA1704" w:rsidRPr="00A764FF">
        <w:rPr>
          <w:b/>
          <w:bCs/>
          <w:i/>
          <w:iCs/>
          <w:lang w:val="en-AU"/>
        </w:rPr>
        <w:t xml:space="preserve">its </w:t>
      </w:r>
      <w:r w:rsidR="00CA1704" w:rsidRPr="00A764FF">
        <w:rPr>
          <w:b/>
          <w:bCs/>
          <w:i/>
          <w:iCs/>
          <w:u w:val="single"/>
          <w:lang w:val="en-AU"/>
        </w:rPr>
        <w:t>principal</w:t>
      </w:r>
      <w:r w:rsidRPr="00A764FF">
        <w:rPr>
          <w:b/>
          <w:bCs/>
          <w:i/>
          <w:iCs/>
          <w:u w:val="single"/>
          <w:lang w:val="en-AU"/>
        </w:rPr>
        <w:t xml:space="preserve"> purpose</w:t>
      </w:r>
      <w:r w:rsidRPr="00A764FF">
        <w:rPr>
          <w:b/>
          <w:bCs/>
          <w:i/>
          <w:iCs/>
          <w:lang w:val="en-AU"/>
        </w:rPr>
        <w:t>.</w:t>
      </w:r>
    </w:p>
    <w:p w14:paraId="662E47E5" w14:textId="77777777" w:rsidR="004449D9" w:rsidRPr="00A764FF" w:rsidRDefault="004449D9" w:rsidP="004F0E78">
      <w:pPr>
        <w:ind w:left="720"/>
        <w:rPr>
          <w:b/>
          <w:bCs/>
          <w:i/>
          <w:iCs/>
          <w:lang w:val="en-AU"/>
        </w:rPr>
      </w:pPr>
    </w:p>
    <w:p w14:paraId="3309A3F2" w14:textId="65806463" w:rsidR="002C6F06" w:rsidRPr="00A764FF" w:rsidRDefault="002C6F06" w:rsidP="004F0E78">
      <w:pPr>
        <w:ind w:left="720"/>
        <w:rPr>
          <w:b/>
          <w:bCs/>
          <w:i/>
          <w:iCs/>
          <w:lang w:val="en-AU"/>
        </w:rPr>
      </w:pPr>
      <w:r w:rsidRPr="00A764FF">
        <w:rPr>
          <w:b/>
          <w:bCs/>
          <w:i/>
          <w:iCs/>
          <w:lang w:val="en-AU"/>
        </w:rPr>
        <w:t>Clause 11.4</w:t>
      </w:r>
      <w:r w:rsidR="00801513" w:rsidRPr="00A764FF">
        <w:rPr>
          <w:b/>
          <w:bCs/>
          <w:i/>
          <w:iCs/>
          <w:lang w:val="en-AU"/>
        </w:rPr>
        <w:t xml:space="preserve"> Not-for-Profit</w:t>
      </w:r>
    </w:p>
    <w:p w14:paraId="15E13633" w14:textId="2E12E82E" w:rsidR="00847834" w:rsidRPr="00A764FF" w:rsidRDefault="002C6F06" w:rsidP="004F0E78">
      <w:pPr>
        <w:ind w:left="720"/>
        <w:rPr>
          <w:b/>
          <w:bCs/>
          <w:i/>
          <w:iCs/>
          <w:lang w:val="en-AU"/>
        </w:rPr>
      </w:pPr>
      <w:r w:rsidRPr="00A764FF">
        <w:rPr>
          <w:b/>
          <w:bCs/>
          <w:i/>
          <w:iCs/>
          <w:lang w:val="en-AU"/>
        </w:rPr>
        <w:t xml:space="preserve">The income and property of the Fund will be used and applied solely in the promotion of its </w:t>
      </w:r>
      <w:r w:rsidR="00B34D84" w:rsidRPr="00A764FF">
        <w:rPr>
          <w:b/>
          <w:bCs/>
          <w:i/>
          <w:iCs/>
          <w:u w:val="single"/>
          <w:lang w:val="en-AU"/>
        </w:rPr>
        <w:t>principal</w:t>
      </w:r>
      <w:r w:rsidRPr="00A764FF">
        <w:rPr>
          <w:b/>
          <w:bCs/>
          <w:i/>
          <w:iCs/>
          <w:u w:val="single"/>
          <w:lang w:val="en-AU"/>
        </w:rPr>
        <w:t xml:space="preserve"> purpose</w:t>
      </w:r>
      <w:r w:rsidRPr="00A764FF">
        <w:rPr>
          <w:b/>
          <w:bCs/>
          <w:i/>
          <w:iCs/>
          <w:lang w:val="en-AU"/>
        </w:rPr>
        <w:t>, and no</w:t>
      </w:r>
      <w:r w:rsidR="0067657E" w:rsidRPr="00A764FF">
        <w:rPr>
          <w:b/>
          <w:bCs/>
          <w:i/>
          <w:iCs/>
          <w:lang w:val="en-AU"/>
        </w:rPr>
        <w:t xml:space="preserve"> portion</w:t>
      </w:r>
      <w:r w:rsidRPr="00A764FF">
        <w:rPr>
          <w:b/>
          <w:bCs/>
          <w:i/>
          <w:iCs/>
          <w:lang w:val="en-AU"/>
        </w:rPr>
        <w:t xml:space="preserve"> shall be distributed, paid or transferred directly or indirectly by way of a dividend, bonus or by way of profit to members of the Friends, or any management committee of the Fund.</w:t>
      </w:r>
    </w:p>
    <w:p w14:paraId="7BE905E2" w14:textId="77777777" w:rsidR="00847834" w:rsidRPr="00A764FF" w:rsidRDefault="00847834" w:rsidP="004F0E78">
      <w:pPr>
        <w:ind w:left="720"/>
        <w:rPr>
          <w:b/>
          <w:bCs/>
          <w:i/>
          <w:iCs/>
          <w:lang w:val="en-AU"/>
        </w:rPr>
      </w:pPr>
    </w:p>
    <w:p w14:paraId="50F6E881" w14:textId="2B428C35" w:rsidR="002C6F06" w:rsidRPr="00A764FF" w:rsidRDefault="002C6F06" w:rsidP="004F0E78">
      <w:pPr>
        <w:ind w:left="720"/>
        <w:rPr>
          <w:b/>
          <w:bCs/>
          <w:i/>
          <w:iCs/>
          <w:lang w:val="en-AU"/>
        </w:rPr>
      </w:pPr>
      <w:r w:rsidRPr="00A764FF">
        <w:rPr>
          <w:b/>
          <w:bCs/>
          <w:i/>
          <w:iCs/>
          <w:lang w:val="en-AU"/>
        </w:rPr>
        <w:t>Clause 11.6 Winding-up</w:t>
      </w:r>
    </w:p>
    <w:p w14:paraId="14201750" w14:textId="3B64ABEA" w:rsidR="002C6F06" w:rsidRPr="00A764FF" w:rsidRDefault="002C6F06" w:rsidP="004F0E78">
      <w:pPr>
        <w:ind w:left="720"/>
        <w:rPr>
          <w:b/>
          <w:bCs/>
          <w:i/>
          <w:iCs/>
          <w:lang w:val="en-AU"/>
        </w:rPr>
      </w:pPr>
      <w:r w:rsidRPr="00A764FF">
        <w:rPr>
          <w:b/>
          <w:bCs/>
          <w:i/>
          <w:iCs/>
          <w:lang w:val="en-AU"/>
        </w:rPr>
        <w:t xml:space="preserve">If the Fund is wound up, all surplus assets are to be transferred to another Fund on the Register of Environmental Organisations that has </w:t>
      </w:r>
      <w:r w:rsidR="00B34D84" w:rsidRPr="00A764FF">
        <w:rPr>
          <w:b/>
          <w:bCs/>
          <w:i/>
          <w:iCs/>
          <w:lang w:val="en-AU"/>
        </w:rPr>
        <w:t xml:space="preserve">a </w:t>
      </w:r>
      <w:r w:rsidRPr="00A764FF">
        <w:rPr>
          <w:b/>
          <w:bCs/>
          <w:i/>
          <w:iCs/>
          <w:lang w:val="en-AU"/>
        </w:rPr>
        <w:t xml:space="preserve">similar </w:t>
      </w:r>
      <w:r w:rsidR="00B34D84" w:rsidRPr="00A764FF">
        <w:rPr>
          <w:b/>
          <w:bCs/>
          <w:i/>
          <w:iCs/>
          <w:u w:val="single"/>
          <w:lang w:val="en-AU"/>
        </w:rPr>
        <w:t xml:space="preserve">principal </w:t>
      </w:r>
      <w:r w:rsidRPr="00A764FF">
        <w:rPr>
          <w:b/>
          <w:bCs/>
          <w:i/>
          <w:iCs/>
          <w:u w:val="single"/>
          <w:lang w:val="en-AU"/>
        </w:rPr>
        <w:t>purpose</w:t>
      </w:r>
      <w:r w:rsidRPr="00A764FF">
        <w:rPr>
          <w:b/>
          <w:bCs/>
          <w:i/>
          <w:iCs/>
          <w:lang w:val="en-AU"/>
        </w:rPr>
        <w:t>.</w:t>
      </w:r>
    </w:p>
    <w:p w14:paraId="6854519F" w14:textId="77777777" w:rsidR="002C6F06" w:rsidRPr="00A764FF" w:rsidRDefault="002C6F06" w:rsidP="004F0E78">
      <w:pPr>
        <w:ind w:left="720"/>
        <w:rPr>
          <w:b/>
          <w:bCs/>
          <w:i/>
          <w:iCs/>
          <w:lang w:val="en-AU"/>
        </w:rPr>
      </w:pPr>
    </w:p>
    <w:p w14:paraId="05CC41DE" w14:textId="4E6EEBD4" w:rsidR="002C6F06" w:rsidRPr="00A764FF" w:rsidRDefault="002C6F06" w:rsidP="004F0E78">
      <w:pPr>
        <w:ind w:left="720"/>
        <w:rPr>
          <w:b/>
          <w:bCs/>
          <w:i/>
          <w:iCs/>
          <w:lang w:val="en-AU"/>
        </w:rPr>
      </w:pPr>
      <w:r w:rsidRPr="00A764FF">
        <w:rPr>
          <w:b/>
          <w:bCs/>
          <w:i/>
          <w:iCs/>
          <w:lang w:val="en-AU"/>
        </w:rPr>
        <w:t>Clause 11.8 (a) the objective of the Fund is</w:t>
      </w:r>
      <w:r w:rsidR="004554E3" w:rsidRPr="00A764FF">
        <w:rPr>
          <w:b/>
          <w:bCs/>
          <w:i/>
          <w:iCs/>
          <w:lang w:val="en-AU"/>
        </w:rPr>
        <w:t xml:space="preserve"> </w:t>
      </w:r>
      <w:r w:rsidR="00064987" w:rsidRPr="00A764FF">
        <w:rPr>
          <w:b/>
          <w:bCs/>
          <w:i/>
          <w:iCs/>
          <w:lang w:val="en-AU"/>
        </w:rPr>
        <w:t xml:space="preserve">to </w:t>
      </w:r>
      <w:r w:rsidR="004554E3" w:rsidRPr="00A764FF">
        <w:rPr>
          <w:b/>
          <w:bCs/>
          <w:i/>
          <w:iCs/>
          <w:lang w:val="en-AU"/>
        </w:rPr>
        <w:t>support</w:t>
      </w:r>
      <w:r w:rsidR="00FB20F7" w:rsidRPr="00A764FF">
        <w:rPr>
          <w:b/>
          <w:bCs/>
          <w:i/>
          <w:iCs/>
          <w:lang w:val="en-AU"/>
        </w:rPr>
        <w:t xml:space="preserve"> its </w:t>
      </w:r>
      <w:r w:rsidR="00FB20F7" w:rsidRPr="00A764FF">
        <w:rPr>
          <w:b/>
          <w:bCs/>
          <w:i/>
          <w:iCs/>
          <w:u w:val="single"/>
          <w:lang w:val="en-AU"/>
        </w:rPr>
        <w:t>principal purpose</w:t>
      </w:r>
      <w:r w:rsidR="00193A69" w:rsidRPr="00A764FF">
        <w:rPr>
          <w:b/>
          <w:bCs/>
          <w:i/>
          <w:iCs/>
          <w:lang w:val="en-AU"/>
        </w:rPr>
        <w:t>.</w:t>
      </w:r>
    </w:p>
    <w:p w14:paraId="7ED6A08C" w14:textId="77777777" w:rsidR="002C6F06" w:rsidRPr="00A764FF" w:rsidRDefault="002C6F06" w:rsidP="004F0E78">
      <w:pPr>
        <w:ind w:left="720"/>
        <w:rPr>
          <w:b/>
          <w:bCs/>
          <w:i/>
          <w:iCs/>
          <w:lang w:val="en-AU"/>
        </w:rPr>
      </w:pPr>
    </w:p>
    <w:p w14:paraId="70E91222" w14:textId="640B5246" w:rsidR="00FD7020" w:rsidRPr="00A764FF" w:rsidRDefault="002C6F06" w:rsidP="00BE5E63">
      <w:pPr>
        <w:ind w:left="720"/>
        <w:rPr>
          <w:b/>
          <w:bCs/>
          <w:i/>
          <w:iCs/>
          <w:lang w:val="en-AU"/>
        </w:rPr>
      </w:pPr>
      <w:r w:rsidRPr="00A764FF">
        <w:rPr>
          <w:b/>
          <w:bCs/>
          <w:i/>
          <w:iCs/>
          <w:lang w:val="en-AU"/>
        </w:rPr>
        <w:t>Clause 11.8(b) members of the public will be invited t</w:t>
      </w:r>
      <w:r w:rsidR="0067657E" w:rsidRPr="00A764FF">
        <w:rPr>
          <w:b/>
          <w:bCs/>
          <w:i/>
          <w:iCs/>
          <w:lang w:val="en-AU"/>
        </w:rPr>
        <w:t>o</w:t>
      </w:r>
      <w:r w:rsidRPr="00A764FF">
        <w:rPr>
          <w:b/>
          <w:bCs/>
          <w:i/>
          <w:iCs/>
          <w:lang w:val="en-AU"/>
        </w:rPr>
        <w:t xml:space="preserve"> make gifts of money or property to the Fund </w:t>
      </w:r>
      <w:r w:rsidR="00B05FA7" w:rsidRPr="00A764FF">
        <w:rPr>
          <w:b/>
          <w:bCs/>
          <w:i/>
          <w:iCs/>
          <w:lang w:val="en-AU"/>
        </w:rPr>
        <w:t xml:space="preserve">to support </w:t>
      </w:r>
      <w:r w:rsidR="00D800B1" w:rsidRPr="00A764FF">
        <w:rPr>
          <w:b/>
          <w:bCs/>
          <w:i/>
          <w:iCs/>
          <w:lang w:val="en-AU"/>
        </w:rPr>
        <w:t xml:space="preserve">its </w:t>
      </w:r>
      <w:r w:rsidR="00D800B1" w:rsidRPr="00A764FF">
        <w:rPr>
          <w:b/>
          <w:bCs/>
          <w:i/>
          <w:iCs/>
          <w:u w:val="single"/>
          <w:lang w:val="en-AU"/>
        </w:rPr>
        <w:t>principal purpose</w:t>
      </w:r>
      <w:r w:rsidR="00B05FA7" w:rsidRPr="00A764FF">
        <w:rPr>
          <w:b/>
          <w:bCs/>
          <w:i/>
          <w:iCs/>
          <w:lang w:val="en-AU"/>
        </w:rPr>
        <w:t>.</w:t>
      </w:r>
    </w:p>
    <w:p w14:paraId="0597EA82" w14:textId="77777777" w:rsidR="00B05FA7" w:rsidRPr="00A764FF" w:rsidRDefault="00B05FA7" w:rsidP="00BE5E63">
      <w:pPr>
        <w:ind w:left="720"/>
        <w:rPr>
          <w:b/>
          <w:bCs/>
          <w:i/>
          <w:iCs/>
          <w:lang w:val="en-AU"/>
        </w:rPr>
      </w:pPr>
    </w:p>
    <w:p w14:paraId="70000028" w14:textId="4DD56869" w:rsidR="00FD7020" w:rsidRPr="00A764FF" w:rsidRDefault="00FD7020" w:rsidP="00FD7020">
      <w:pPr>
        <w:rPr>
          <w:lang w:val="en-AU"/>
        </w:rPr>
      </w:pPr>
      <w:r w:rsidRPr="00A764FF">
        <w:rPr>
          <w:b/>
          <w:bCs/>
          <w:lang w:val="en-AU"/>
        </w:rPr>
        <w:t>Clause 11.8</w:t>
      </w:r>
      <w:r w:rsidRPr="00A764FF">
        <w:rPr>
          <w:lang w:val="en-AU"/>
        </w:rPr>
        <w:t xml:space="preserve"> </w:t>
      </w:r>
      <w:r w:rsidRPr="00A764FF">
        <w:rPr>
          <w:b/>
          <w:lang w:val="en-AU"/>
        </w:rPr>
        <w:t>(g)</w:t>
      </w:r>
      <w:r w:rsidRPr="00A764FF">
        <w:rPr>
          <w:lang w:val="en-AU"/>
        </w:rPr>
        <w:t xml:space="preserve"> </w:t>
      </w:r>
      <w:r w:rsidR="002D5E07" w:rsidRPr="00A764FF">
        <w:rPr>
          <w:lang w:val="en-AU"/>
        </w:rPr>
        <w:t>also states that “</w:t>
      </w:r>
      <w:r w:rsidRPr="00A764FF">
        <w:rPr>
          <w:lang w:val="en-AU"/>
        </w:rPr>
        <w:t xml:space="preserve">a committee of management (trustees) of no fewer than three persons shall administer the Fund.”  Recent legal advice indicates that members of this committee are not trustees.  This being the case, the word “trustees” should be </w:t>
      </w:r>
      <w:r w:rsidRPr="00311DB1">
        <w:rPr>
          <w:i/>
          <w:iCs/>
          <w:lang w:val="en-AU"/>
        </w:rPr>
        <w:t>deleted</w:t>
      </w:r>
      <w:r w:rsidRPr="00A764FF">
        <w:rPr>
          <w:lang w:val="en-AU"/>
        </w:rPr>
        <w:t>.</w:t>
      </w:r>
    </w:p>
    <w:p w14:paraId="2A69FB89" w14:textId="77777777" w:rsidR="0020110B" w:rsidRPr="00A764FF" w:rsidRDefault="0020110B" w:rsidP="009C08C7">
      <w:pPr>
        <w:rPr>
          <w:b/>
          <w:bCs/>
          <w:lang w:val="en-AU"/>
        </w:rPr>
      </w:pPr>
    </w:p>
    <w:p w14:paraId="718290D6" w14:textId="77777777" w:rsidR="009C08C7" w:rsidRPr="00A764FF" w:rsidRDefault="009C08C7" w:rsidP="009C08C7">
      <w:pPr>
        <w:rPr>
          <w:b/>
          <w:bCs/>
          <w:sz w:val="28"/>
          <w:szCs w:val="28"/>
          <w:lang w:val="en-AU"/>
        </w:rPr>
      </w:pPr>
      <w:r w:rsidRPr="00A764FF">
        <w:rPr>
          <w:b/>
          <w:bCs/>
          <w:sz w:val="28"/>
          <w:szCs w:val="28"/>
          <w:lang w:val="en-AU"/>
        </w:rPr>
        <w:t>2.  Updating procedures</w:t>
      </w:r>
    </w:p>
    <w:p w14:paraId="6BE91769" w14:textId="0CEAEB38" w:rsidR="009C08C7" w:rsidRPr="00A764FF" w:rsidRDefault="009C08C7">
      <w:pPr>
        <w:rPr>
          <w:lang w:val="en-AU"/>
        </w:rPr>
      </w:pPr>
    </w:p>
    <w:p w14:paraId="404829CD" w14:textId="77777777" w:rsidR="004449D9" w:rsidRPr="00A764FF" w:rsidRDefault="00142ADA" w:rsidP="00A06FFC">
      <w:pPr>
        <w:tabs>
          <w:tab w:val="left" w:pos="7513"/>
        </w:tabs>
        <w:rPr>
          <w:b/>
          <w:bCs/>
          <w:lang w:val="en-AU"/>
        </w:rPr>
      </w:pPr>
      <w:r w:rsidRPr="00A764FF">
        <w:rPr>
          <w:b/>
          <w:bCs/>
          <w:lang w:val="en-AU"/>
        </w:rPr>
        <w:t>(</w:t>
      </w:r>
      <w:r w:rsidR="00004DBB" w:rsidRPr="00A764FF">
        <w:rPr>
          <w:b/>
          <w:bCs/>
          <w:lang w:val="en-AU"/>
        </w:rPr>
        <w:t>a</w:t>
      </w:r>
      <w:r w:rsidR="001F436D" w:rsidRPr="00A764FF">
        <w:rPr>
          <w:b/>
          <w:bCs/>
          <w:lang w:val="en-AU"/>
        </w:rPr>
        <w:t>)</w:t>
      </w:r>
      <w:r w:rsidR="001F436D" w:rsidRPr="00A764FF">
        <w:rPr>
          <w:lang w:val="en-AU"/>
        </w:rPr>
        <w:t xml:space="preserve"> </w:t>
      </w:r>
      <w:r w:rsidR="001206D4" w:rsidRPr="00A764FF">
        <w:rPr>
          <w:b/>
          <w:bCs/>
          <w:lang w:val="en-AU"/>
        </w:rPr>
        <w:t>Membership</w:t>
      </w:r>
      <w:r w:rsidR="00D26498" w:rsidRPr="00A764FF">
        <w:rPr>
          <w:b/>
          <w:bCs/>
          <w:lang w:val="en-AU"/>
        </w:rPr>
        <w:t xml:space="preserve"> </w:t>
      </w:r>
      <w:r w:rsidR="004D4BDF" w:rsidRPr="00A764FF">
        <w:rPr>
          <w:b/>
          <w:bCs/>
          <w:lang w:val="en-AU"/>
        </w:rPr>
        <w:t xml:space="preserve">clauses </w:t>
      </w:r>
    </w:p>
    <w:p w14:paraId="46E7F0D9" w14:textId="77777777" w:rsidR="004449D9" w:rsidRPr="00A764FF" w:rsidRDefault="004449D9" w:rsidP="00A06FFC">
      <w:pPr>
        <w:tabs>
          <w:tab w:val="left" w:pos="7513"/>
        </w:tabs>
        <w:rPr>
          <w:b/>
          <w:bCs/>
          <w:lang w:val="en-AU"/>
        </w:rPr>
      </w:pPr>
    </w:p>
    <w:p w14:paraId="544E404E" w14:textId="2070B387" w:rsidR="001206D4" w:rsidRPr="00A764FF" w:rsidRDefault="0041218F" w:rsidP="00A06FFC">
      <w:pPr>
        <w:tabs>
          <w:tab w:val="left" w:pos="7513"/>
        </w:tabs>
        <w:rPr>
          <w:lang w:val="en-AU"/>
        </w:rPr>
      </w:pPr>
      <w:r w:rsidRPr="00A764FF">
        <w:rPr>
          <w:bCs/>
          <w:lang w:val="en-AU"/>
        </w:rPr>
        <w:t xml:space="preserve">Part 5 </w:t>
      </w:r>
      <w:r w:rsidR="00092D33" w:rsidRPr="00A764FF">
        <w:rPr>
          <w:bCs/>
          <w:lang w:val="en-AU"/>
        </w:rPr>
        <w:t xml:space="preserve">of the Constitution </w:t>
      </w:r>
      <w:r w:rsidRPr="00A764FF">
        <w:rPr>
          <w:bCs/>
          <w:lang w:val="en-AU"/>
        </w:rPr>
        <w:t>is</w:t>
      </w:r>
      <w:r w:rsidR="001206D4" w:rsidRPr="00A764FF">
        <w:rPr>
          <w:lang w:val="en-AU"/>
        </w:rPr>
        <w:t xml:space="preserve"> silent on when a person becomes a member and the process outlined does not match current practice. </w:t>
      </w:r>
      <w:r w:rsidR="002432DE" w:rsidRPr="00A764FF">
        <w:rPr>
          <w:lang w:val="en-AU"/>
        </w:rPr>
        <w:t xml:space="preserve"> A</w:t>
      </w:r>
      <w:r w:rsidR="00092D33" w:rsidRPr="00A764FF">
        <w:rPr>
          <w:lang w:val="en-AU"/>
        </w:rPr>
        <w:t>t present a</w:t>
      </w:r>
      <w:r w:rsidR="002432DE" w:rsidRPr="00A764FF">
        <w:rPr>
          <w:lang w:val="en-AU"/>
        </w:rPr>
        <w:t xml:space="preserve"> team of people receives and process applications, simply reporting numbers of members </w:t>
      </w:r>
      <w:r w:rsidR="00451F1A" w:rsidRPr="00A764FF">
        <w:rPr>
          <w:lang w:val="en-AU"/>
        </w:rPr>
        <w:t>(</w:t>
      </w:r>
      <w:r w:rsidR="002432DE" w:rsidRPr="00A764FF">
        <w:rPr>
          <w:lang w:val="en-AU"/>
        </w:rPr>
        <w:t>new and renewed</w:t>
      </w:r>
      <w:r w:rsidR="00451F1A" w:rsidRPr="00A764FF">
        <w:rPr>
          <w:lang w:val="en-AU"/>
        </w:rPr>
        <w:t>) to Council each month</w:t>
      </w:r>
      <w:r w:rsidR="002432DE" w:rsidRPr="00A764FF">
        <w:rPr>
          <w:lang w:val="en-AU"/>
        </w:rPr>
        <w:t xml:space="preserve">.  This is not consistent with legislation that requires the Secretary to be responsible for processing applications and referring such applications to Council for decision.  </w:t>
      </w:r>
      <w:r w:rsidR="00451F1A" w:rsidRPr="00A764FF">
        <w:rPr>
          <w:lang w:val="en-AU"/>
        </w:rPr>
        <w:t xml:space="preserve">It is therefore proposed </w:t>
      </w:r>
      <w:r w:rsidR="007914F4" w:rsidRPr="00A764FF">
        <w:rPr>
          <w:lang w:val="en-AU"/>
        </w:rPr>
        <w:t>that</w:t>
      </w:r>
      <w:r w:rsidR="002432DE" w:rsidRPr="00A764FF">
        <w:rPr>
          <w:lang w:val="en-AU"/>
        </w:rPr>
        <w:t xml:space="preserve"> </w:t>
      </w:r>
      <w:r w:rsidR="00451F1A" w:rsidRPr="00A764FF">
        <w:rPr>
          <w:lang w:val="en-AU"/>
        </w:rPr>
        <w:t xml:space="preserve">Clause 5.5 of </w:t>
      </w:r>
      <w:r w:rsidR="002432DE" w:rsidRPr="00A764FF">
        <w:rPr>
          <w:lang w:val="en-AU"/>
        </w:rPr>
        <w:t xml:space="preserve">the </w:t>
      </w:r>
      <w:r w:rsidR="00A06FFC" w:rsidRPr="00A764FF">
        <w:rPr>
          <w:lang w:val="en-AU"/>
        </w:rPr>
        <w:t xml:space="preserve">current Constitution </w:t>
      </w:r>
      <w:r w:rsidR="00451F1A" w:rsidRPr="00A764FF">
        <w:rPr>
          <w:lang w:val="en-AU"/>
        </w:rPr>
        <w:t xml:space="preserve">be altered to require the Secretary to refer applications to Council.  Council may then delegate any decisions to the Membership Team in line with Clause 6.9 of the Constitution. </w:t>
      </w:r>
      <w:r w:rsidR="00D26498" w:rsidRPr="00A764FF">
        <w:rPr>
          <w:lang w:val="en-AU"/>
        </w:rPr>
        <w:t xml:space="preserve">It </w:t>
      </w:r>
      <w:r w:rsidR="001206D4" w:rsidRPr="00A764FF">
        <w:rPr>
          <w:lang w:val="en-AU"/>
        </w:rPr>
        <w:t xml:space="preserve">is </w:t>
      </w:r>
      <w:r w:rsidR="00451F1A" w:rsidRPr="00A764FF">
        <w:rPr>
          <w:lang w:val="en-AU"/>
        </w:rPr>
        <w:t xml:space="preserve">also </w:t>
      </w:r>
      <w:r w:rsidR="001206D4" w:rsidRPr="00A764FF">
        <w:rPr>
          <w:lang w:val="en-AU"/>
        </w:rPr>
        <w:t xml:space="preserve">recommended that clause </w:t>
      </w:r>
      <w:r w:rsidR="007B71F9" w:rsidRPr="00A764FF">
        <w:rPr>
          <w:lang w:val="en-AU"/>
        </w:rPr>
        <w:t>5.5</w:t>
      </w:r>
      <w:r w:rsidR="00092D33" w:rsidRPr="00A764FF">
        <w:rPr>
          <w:lang w:val="en-AU"/>
        </w:rPr>
        <w:t xml:space="preserve">(b) be deleted as </w:t>
      </w:r>
      <w:r w:rsidR="00092D33" w:rsidRPr="00A764FF">
        <w:rPr>
          <w:lang w:val="en-AU"/>
        </w:rPr>
        <w:lastRenderedPageBreak/>
        <w:t>names are entered in a Register which is accessible to</w:t>
      </w:r>
      <w:r w:rsidR="00BF7FA9" w:rsidRPr="00A764FF">
        <w:rPr>
          <w:lang w:val="en-AU"/>
        </w:rPr>
        <w:t xml:space="preserve"> Council on request (Clause 6.3.3.3</w:t>
      </w:r>
      <w:r w:rsidR="00092D33" w:rsidRPr="00A764FF">
        <w:rPr>
          <w:lang w:val="en-AU"/>
        </w:rPr>
        <w:t xml:space="preserve">) and replaced with a new subsection (b) </w:t>
      </w:r>
      <w:r w:rsidR="00451F1A" w:rsidRPr="00A764FF">
        <w:rPr>
          <w:lang w:val="en-AU"/>
        </w:rPr>
        <w:t>articulat</w:t>
      </w:r>
      <w:r w:rsidR="00092D33" w:rsidRPr="00A764FF">
        <w:rPr>
          <w:lang w:val="en-AU"/>
        </w:rPr>
        <w:t>ing</w:t>
      </w:r>
      <w:r w:rsidR="00451F1A" w:rsidRPr="00A764FF">
        <w:rPr>
          <w:lang w:val="en-AU"/>
        </w:rPr>
        <w:t xml:space="preserve"> when a person becomes a member</w:t>
      </w:r>
      <w:r w:rsidR="00092D33" w:rsidRPr="00A764FF">
        <w:rPr>
          <w:lang w:val="en-AU"/>
        </w:rPr>
        <w:t>:</w:t>
      </w:r>
      <w:r w:rsidR="00451F1A" w:rsidRPr="00A764FF">
        <w:rPr>
          <w:lang w:val="en-AU"/>
        </w:rPr>
        <w:t xml:space="preserve"> </w:t>
      </w:r>
    </w:p>
    <w:p w14:paraId="20D05A50" w14:textId="77777777" w:rsidR="007A7454" w:rsidRPr="00A764FF" w:rsidRDefault="007A7454" w:rsidP="00A06FFC">
      <w:pPr>
        <w:tabs>
          <w:tab w:val="left" w:pos="7513"/>
        </w:tabs>
        <w:rPr>
          <w:lang w:val="en-AU"/>
        </w:rPr>
      </w:pPr>
    </w:p>
    <w:p w14:paraId="74BBC705" w14:textId="2046F658" w:rsidR="00BE7605" w:rsidRPr="00A764FF" w:rsidRDefault="001206D4" w:rsidP="00A908DF">
      <w:pPr>
        <w:ind w:left="720"/>
        <w:rPr>
          <w:i/>
          <w:iCs/>
          <w:lang w:val="en-AU"/>
        </w:rPr>
      </w:pPr>
      <w:r w:rsidRPr="00A764FF">
        <w:rPr>
          <w:b/>
          <w:bCs/>
          <w:i/>
          <w:iCs/>
          <w:lang w:val="en-AU"/>
        </w:rPr>
        <w:t xml:space="preserve">5.5 </w:t>
      </w:r>
      <w:r w:rsidR="00BE7605" w:rsidRPr="00A764FF">
        <w:rPr>
          <w:b/>
          <w:bCs/>
          <w:i/>
          <w:iCs/>
          <w:lang w:val="en-AU"/>
        </w:rPr>
        <w:t>Dealing with Membership Applications</w:t>
      </w:r>
    </w:p>
    <w:p w14:paraId="581C0232" w14:textId="24600253" w:rsidR="00BE7605" w:rsidRPr="00A764FF" w:rsidRDefault="00BE7605" w:rsidP="00A908DF">
      <w:pPr>
        <w:tabs>
          <w:tab w:val="left" w:pos="720"/>
        </w:tabs>
        <w:ind w:left="720"/>
        <w:rPr>
          <w:b/>
          <w:i/>
          <w:iCs/>
          <w:lang w:val="en-AU"/>
        </w:rPr>
      </w:pPr>
      <w:r w:rsidRPr="00A764FF">
        <w:rPr>
          <w:b/>
          <w:i/>
          <w:iCs/>
          <w:lang w:val="en-AU"/>
        </w:rPr>
        <w:t xml:space="preserve">(a) </w:t>
      </w:r>
      <w:r w:rsidR="002432DE" w:rsidRPr="00A764FF">
        <w:rPr>
          <w:b/>
          <w:i/>
          <w:iCs/>
          <w:lang w:val="en-AU"/>
        </w:rPr>
        <w:t xml:space="preserve">The Secretary </w:t>
      </w:r>
      <w:r w:rsidRPr="00A764FF">
        <w:rPr>
          <w:b/>
          <w:i/>
          <w:iCs/>
          <w:lang w:val="en-AU"/>
        </w:rPr>
        <w:t>shall coordinate the processing of membership</w:t>
      </w:r>
      <w:r w:rsidR="0067657E" w:rsidRPr="00A764FF">
        <w:rPr>
          <w:b/>
          <w:i/>
          <w:iCs/>
          <w:lang w:val="en-AU"/>
        </w:rPr>
        <w:t xml:space="preserve"> applications</w:t>
      </w:r>
      <w:r w:rsidR="002432DE" w:rsidRPr="00A764FF">
        <w:rPr>
          <w:b/>
          <w:i/>
          <w:iCs/>
          <w:lang w:val="en-AU"/>
        </w:rPr>
        <w:t xml:space="preserve"> and must</w:t>
      </w:r>
      <w:r w:rsidR="00C51722" w:rsidRPr="00A764FF">
        <w:rPr>
          <w:b/>
          <w:i/>
          <w:iCs/>
          <w:lang w:val="en-AU"/>
        </w:rPr>
        <w:t xml:space="preserve"> </w:t>
      </w:r>
      <w:r w:rsidR="000E141D" w:rsidRPr="00A764FF">
        <w:rPr>
          <w:b/>
          <w:i/>
          <w:iCs/>
          <w:lang w:val="en-AU"/>
        </w:rPr>
        <w:t>refer applications to Council</w:t>
      </w:r>
      <w:r w:rsidRPr="00A764FF">
        <w:rPr>
          <w:b/>
          <w:i/>
          <w:iCs/>
          <w:lang w:val="en-AU"/>
        </w:rPr>
        <w:t>.</w:t>
      </w:r>
    </w:p>
    <w:p w14:paraId="3729B8CB" w14:textId="2379F787" w:rsidR="006320E5" w:rsidRPr="00A764FF" w:rsidRDefault="00BE7605" w:rsidP="00955FFE">
      <w:pPr>
        <w:tabs>
          <w:tab w:val="left" w:pos="720"/>
        </w:tabs>
        <w:ind w:left="720"/>
        <w:rPr>
          <w:i/>
          <w:iCs/>
          <w:lang w:val="en-AU"/>
        </w:rPr>
      </w:pPr>
      <w:r w:rsidRPr="00A764FF">
        <w:rPr>
          <w:b/>
          <w:i/>
          <w:iCs/>
          <w:lang w:val="en-AU"/>
        </w:rPr>
        <w:t>(b</w:t>
      </w:r>
      <w:r w:rsidR="00135024" w:rsidRPr="00A764FF">
        <w:rPr>
          <w:b/>
          <w:i/>
          <w:iCs/>
          <w:lang w:val="en-AU"/>
        </w:rPr>
        <w:t>) An</w:t>
      </w:r>
      <w:r w:rsidRPr="00A764FF">
        <w:rPr>
          <w:b/>
          <w:i/>
          <w:iCs/>
          <w:lang w:val="en-AU"/>
        </w:rPr>
        <w:t xml:space="preserve"> applicant becomes a member when Council accepts an application, the appropriate membership fees are paid where applicable, and details are entered in the register</w:t>
      </w:r>
      <w:r w:rsidRPr="00A764FF">
        <w:rPr>
          <w:i/>
          <w:iCs/>
          <w:lang w:val="en-AU"/>
        </w:rPr>
        <w:t>.</w:t>
      </w:r>
    </w:p>
    <w:p w14:paraId="513EA66C" w14:textId="77777777" w:rsidR="006320E5" w:rsidRPr="00A764FF" w:rsidRDefault="006320E5" w:rsidP="00D4519C">
      <w:pPr>
        <w:rPr>
          <w:b/>
          <w:bCs/>
          <w:lang w:val="en-AU"/>
        </w:rPr>
      </w:pPr>
    </w:p>
    <w:p w14:paraId="7AFB930E" w14:textId="08FB9903" w:rsidR="0020110B" w:rsidRPr="00A764FF" w:rsidRDefault="00D4519C" w:rsidP="00D4519C">
      <w:pPr>
        <w:rPr>
          <w:lang w:val="en-AU"/>
        </w:rPr>
      </w:pPr>
      <w:r w:rsidRPr="00A764FF">
        <w:rPr>
          <w:b/>
          <w:bCs/>
          <w:lang w:val="en-AU"/>
        </w:rPr>
        <w:t>(b)</w:t>
      </w:r>
      <w:r w:rsidR="009F5D9B" w:rsidRPr="00A764FF">
        <w:rPr>
          <w:lang w:val="en-AU"/>
        </w:rPr>
        <w:t xml:space="preserve"> </w:t>
      </w:r>
      <w:r w:rsidRPr="00A764FF">
        <w:rPr>
          <w:b/>
          <w:bCs/>
          <w:lang w:val="en-AU"/>
        </w:rPr>
        <w:t>Clause 6.4.1 Nominations</w:t>
      </w:r>
      <w:r w:rsidRPr="00A764FF">
        <w:rPr>
          <w:lang w:val="en-AU"/>
        </w:rPr>
        <w:t xml:space="preserve"> </w:t>
      </w:r>
    </w:p>
    <w:p w14:paraId="16A26691" w14:textId="77777777" w:rsidR="004449D9" w:rsidRPr="00A764FF" w:rsidRDefault="004449D9" w:rsidP="00D4519C">
      <w:pPr>
        <w:rPr>
          <w:lang w:val="en-AU"/>
        </w:rPr>
      </w:pPr>
    </w:p>
    <w:p w14:paraId="73C3B0DD" w14:textId="0CAB2625" w:rsidR="00D4519C" w:rsidRPr="00A764FF" w:rsidRDefault="0020110B" w:rsidP="00D4519C">
      <w:pPr>
        <w:rPr>
          <w:lang w:val="en-AU"/>
        </w:rPr>
      </w:pPr>
      <w:r w:rsidRPr="00A764FF">
        <w:rPr>
          <w:lang w:val="en-AU"/>
        </w:rPr>
        <w:t xml:space="preserve">The Friends’ current practice of </w:t>
      </w:r>
      <w:r w:rsidR="00D4519C" w:rsidRPr="00A764FF">
        <w:rPr>
          <w:lang w:val="en-AU"/>
        </w:rPr>
        <w:t>the advertising of vacant Council positions amongst the wider membership</w:t>
      </w:r>
      <w:r w:rsidRPr="00A764FF">
        <w:rPr>
          <w:lang w:val="en-AU"/>
        </w:rPr>
        <w:t xml:space="preserve"> is not enshrined in our Constitution</w:t>
      </w:r>
      <w:r w:rsidR="00D4519C" w:rsidRPr="00A764FF">
        <w:rPr>
          <w:lang w:val="en-AU"/>
        </w:rPr>
        <w:t xml:space="preserve">. </w:t>
      </w:r>
      <w:r w:rsidR="00A86E82" w:rsidRPr="00A764FF">
        <w:rPr>
          <w:lang w:val="en-AU"/>
        </w:rPr>
        <w:t>Also missing is the</w:t>
      </w:r>
      <w:r w:rsidR="005C40C7" w:rsidRPr="00A764FF">
        <w:rPr>
          <w:lang w:val="en-AU"/>
        </w:rPr>
        <w:t xml:space="preserve"> ACNC requirement that Council members declare that they are </w:t>
      </w:r>
      <w:r w:rsidR="00A530AD" w:rsidRPr="00A764FF">
        <w:rPr>
          <w:lang w:val="en-AU"/>
        </w:rPr>
        <w:t>responsible people</w:t>
      </w:r>
      <w:r w:rsidR="005C40C7" w:rsidRPr="00A764FF">
        <w:rPr>
          <w:lang w:val="en-AU"/>
        </w:rPr>
        <w:t>. In practice Council members d</w:t>
      </w:r>
      <w:r w:rsidRPr="00A764FF">
        <w:rPr>
          <w:lang w:val="en-AU"/>
        </w:rPr>
        <w:t xml:space="preserve">o declare that </w:t>
      </w:r>
      <w:r w:rsidR="005C40C7" w:rsidRPr="00A764FF">
        <w:rPr>
          <w:lang w:val="en-AU"/>
        </w:rPr>
        <w:t xml:space="preserve">they are </w:t>
      </w:r>
      <w:r w:rsidR="0067657E" w:rsidRPr="00A764FF">
        <w:rPr>
          <w:lang w:val="en-AU"/>
        </w:rPr>
        <w:t xml:space="preserve">responsible </w:t>
      </w:r>
      <w:r w:rsidRPr="00A764FF">
        <w:rPr>
          <w:lang w:val="en-AU"/>
        </w:rPr>
        <w:t xml:space="preserve">after </w:t>
      </w:r>
      <w:r w:rsidR="0067657E" w:rsidRPr="00A764FF">
        <w:rPr>
          <w:lang w:val="en-AU"/>
        </w:rPr>
        <w:t xml:space="preserve">being </w:t>
      </w:r>
      <w:r w:rsidRPr="00A764FF">
        <w:rPr>
          <w:lang w:val="en-AU"/>
        </w:rPr>
        <w:t>elected</w:t>
      </w:r>
      <w:r w:rsidR="00937F6A" w:rsidRPr="00A764FF">
        <w:rPr>
          <w:lang w:val="en-AU"/>
        </w:rPr>
        <w:t xml:space="preserve"> or re-elected</w:t>
      </w:r>
      <w:r w:rsidR="00F73713" w:rsidRPr="00A764FF">
        <w:rPr>
          <w:lang w:val="en-AU"/>
        </w:rPr>
        <w:t xml:space="preserve">. </w:t>
      </w:r>
      <w:r w:rsidR="005C40C7" w:rsidRPr="00A764FF">
        <w:rPr>
          <w:lang w:val="en-AU"/>
        </w:rPr>
        <w:t xml:space="preserve">It would be difficult if someone was elected and then fails to declare that they are a responsible person. </w:t>
      </w:r>
      <w:r w:rsidR="00D4519C" w:rsidRPr="00A764FF">
        <w:rPr>
          <w:lang w:val="en-AU"/>
        </w:rPr>
        <w:t xml:space="preserve">To remedy this situation, it is recommended that </w:t>
      </w:r>
      <w:r w:rsidR="00625D7D" w:rsidRPr="00A764FF">
        <w:rPr>
          <w:lang w:val="en-AU"/>
        </w:rPr>
        <w:t xml:space="preserve">Clause 6.4.1 </w:t>
      </w:r>
      <w:r w:rsidR="00142ADA" w:rsidRPr="00A764FF">
        <w:rPr>
          <w:lang w:val="en-AU"/>
        </w:rPr>
        <w:t>be</w:t>
      </w:r>
      <w:r w:rsidR="00142ADA" w:rsidRPr="00A764FF">
        <w:rPr>
          <w:b/>
          <w:bCs/>
          <w:lang w:val="en-AU"/>
        </w:rPr>
        <w:t xml:space="preserve"> </w:t>
      </w:r>
      <w:r w:rsidR="00142ADA" w:rsidRPr="00311DB1">
        <w:rPr>
          <w:i/>
          <w:iCs/>
          <w:lang w:val="en-AU"/>
        </w:rPr>
        <w:t>expanded</w:t>
      </w:r>
      <w:r w:rsidR="005C40C7" w:rsidRPr="00A764FF">
        <w:rPr>
          <w:lang w:val="en-AU"/>
        </w:rPr>
        <w:t xml:space="preserve"> as following:</w:t>
      </w:r>
    </w:p>
    <w:p w14:paraId="5F0BB2E0" w14:textId="77777777" w:rsidR="0020110B" w:rsidRPr="00A764FF" w:rsidRDefault="0020110B" w:rsidP="00357EB9">
      <w:pPr>
        <w:ind w:left="720"/>
        <w:rPr>
          <w:b/>
          <w:bCs/>
          <w:i/>
          <w:lang w:val="en-AU"/>
        </w:rPr>
      </w:pPr>
    </w:p>
    <w:p w14:paraId="24C49E44" w14:textId="77777777" w:rsidR="00A81630" w:rsidRPr="00A764FF" w:rsidRDefault="00357EB9" w:rsidP="00357EB9">
      <w:pPr>
        <w:ind w:left="720"/>
        <w:rPr>
          <w:b/>
          <w:bCs/>
          <w:i/>
          <w:lang w:val="en-AU"/>
        </w:rPr>
      </w:pPr>
      <w:r w:rsidRPr="00A764FF">
        <w:rPr>
          <w:b/>
          <w:bCs/>
          <w:i/>
          <w:lang w:val="en-AU"/>
        </w:rPr>
        <w:t>Clause 6.4.1 Nominations</w:t>
      </w:r>
    </w:p>
    <w:p w14:paraId="27603F44" w14:textId="51777DD5" w:rsidR="00357EB9" w:rsidRPr="00A764FF" w:rsidRDefault="00357EB9" w:rsidP="00357EB9">
      <w:pPr>
        <w:ind w:left="720"/>
        <w:rPr>
          <w:b/>
          <w:bCs/>
          <w:i/>
          <w:lang w:val="en-AU"/>
        </w:rPr>
      </w:pPr>
      <w:r w:rsidRPr="00A764FF">
        <w:rPr>
          <w:b/>
          <w:bCs/>
          <w:i/>
          <w:lang w:val="en-AU"/>
        </w:rPr>
        <w:t xml:space="preserve">Nominations for Council </w:t>
      </w:r>
      <w:r w:rsidR="00A06FFC" w:rsidRPr="00A764FF">
        <w:rPr>
          <w:b/>
          <w:bCs/>
          <w:i/>
          <w:lang w:val="en-AU"/>
        </w:rPr>
        <w:t xml:space="preserve">shall </w:t>
      </w:r>
      <w:r w:rsidRPr="00A764FF">
        <w:rPr>
          <w:b/>
          <w:bCs/>
          <w:i/>
          <w:lang w:val="en-AU"/>
        </w:rPr>
        <w:t>be solicited among all members and:</w:t>
      </w:r>
    </w:p>
    <w:p w14:paraId="6D2F3966" w14:textId="4B535D45" w:rsidR="007367CA" w:rsidRPr="00A764FF" w:rsidRDefault="00357EB9" w:rsidP="00357EB9">
      <w:pPr>
        <w:ind w:left="720"/>
        <w:rPr>
          <w:b/>
          <w:i/>
          <w:lang w:val="en-AU"/>
        </w:rPr>
      </w:pPr>
      <w:r w:rsidRPr="00A764FF">
        <w:rPr>
          <w:b/>
          <w:i/>
          <w:lang w:val="en-AU"/>
        </w:rPr>
        <w:t>(a) made in</w:t>
      </w:r>
      <w:r w:rsidR="00A81630" w:rsidRPr="00A764FF">
        <w:rPr>
          <w:b/>
          <w:i/>
          <w:lang w:val="en-AU"/>
        </w:rPr>
        <w:t xml:space="preserve"> </w:t>
      </w:r>
      <w:r w:rsidRPr="00A764FF">
        <w:rPr>
          <w:b/>
          <w:i/>
          <w:lang w:val="en-AU"/>
        </w:rPr>
        <w:t>writing, signed by two members of th</w:t>
      </w:r>
      <w:r w:rsidR="007B71F9" w:rsidRPr="00A764FF">
        <w:rPr>
          <w:b/>
          <w:i/>
          <w:lang w:val="en-AU"/>
        </w:rPr>
        <w:t xml:space="preserve">e Friends and be accompanied by </w:t>
      </w:r>
      <w:r w:rsidR="0007653B" w:rsidRPr="00A764FF">
        <w:rPr>
          <w:b/>
          <w:i/>
          <w:lang w:val="en-AU"/>
        </w:rPr>
        <w:t xml:space="preserve">the </w:t>
      </w:r>
      <w:r w:rsidR="00A86E82" w:rsidRPr="00A764FF">
        <w:rPr>
          <w:b/>
          <w:i/>
          <w:lang w:val="en-AU"/>
        </w:rPr>
        <w:t xml:space="preserve">prescribed </w:t>
      </w:r>
      <w:r w:rsidRPr="00A764FF">
        <w:rPr>
          <w:b/>
          <w:i/>
          <w:lang w:val="en-AU"/>
        </w:rPr>
        <w:t>declaration</w:t>
      </w:r>
      <w:r w:rsidR="00A81630" w:rsidRPr="00A764FF">
        <w:rPr>
          <w:b/>
          <w:i/>
          <w:lang w:val="en-AU"/>
        </w:rPr>
        <w:t xml:space="preserve"> </w:t>
      </w:r>
      <w:r w:rsidR="007367CA" w:rsidRPr="00A764FF">
        <w:rPr>
          <w:b/>
          <w:i/>
          <w:lang w:val="en-AU"/>
        </w:rPr>
        <w:t>form</w:t>
      </w:r>
      <w:r w:rsidR="005C40C7" w:rsidRPr="00A764FF">
        <w:rPr>
          <w:b/>
          <w:i/>
          <w:lang w:val="en-AU"/>
        </w:rPr>
        <w:t>(s)</w:t>
      </w:r>
      <w:r w:rsidR="007367CA" w:rsidRPr="00A764FF">
        <w:rPr>
          <w:b/>
          <w:i/>
          <w:lang w:val="en-AU"/>
        </w:rPr>
        <w:t xml:space="preserve"> </w:t>
      </w:r>
      <w:r w:rsidR="00A81630" w:rsidRPr="00A764FF">
        <w:rPr>
          <w:b/>
          <w:i/>
          <w:lang w:val="en-AU"/>
        </w:rPr>
        <w:t xml:space="preserve">completed </w:t>
      </w:r>
      <w:r w:rsidR="007367CA" w:rsidRPr="00A764FF">
        <w:rPr>
          <w:b/>
          <w:i/>
          <w:lang w:val="en-AU"/>
        </w:rPr>
        <w:t xml:space="preserve">and signed </w:t>
      </w:r>
      <w:r w:rsidR="00A81630" w:rsidRPr="00A764FF">
        <w:rPr>
          <w:b/>
          <w:i/>
          <w:lang w:val="en-AU"/>
        </w:rPr>
        <w:t>by the candidate</w:t>
      </w:r>
      <w:r w:rsidR="008431F9" w:rsidRPr="00A764FF">
        <w:rPr>
          <w:b/>
          <w:i/>
          <w:lang w:val="en-AU"/>
        </w:rPr>
        <w:t>;</w:t>
      </w:r>
      <w:r w:rsidRPr="00A764FF">
        <w:rPr>
          <w:b/>
          <w:i/>
          <w:lang w:val="en-AU"/>
        </w:rPr>
        <w:t xml:space="preserve"> a</w:t>
      </w:r>
      <w:r w:rsidR="00A81630" w:rsidRPr="00A764FF">
        <w:rPr>
          <w:b/>
          <w:i/>
          <w:lang w:val="en-AU"/>
        </w:rPr>
        <w:t>nd</w:t>
      </w:r>
    </w:p>
    <w:p w14:paraId="6A4EA35E" w14:textId="35B6E795" w:rsidR="00E61C92" w:rsidRPr="00A764FF" w:rsidRDefault="00357EB9" w:rsidP="00955FFE">
      <w:pPr>
        <w:ind w:left="720"/>
        <w:rPr>
          <w:b/>
          <w:i/>
          <w:lang w:val="en-AU"/>
        </w:rPr>
      </w:pPr>
      <w:r w:rsidRPr="00A764FF">
        <w:rPr>
          <w:b/>
          <w:i/>
          <w:lang w:val="en-AU"/>
        </w:rPr>
        <w:t xml:space="preserve">(b) </w:t>
      </w:r>
      <w:r w:rsidR="00A81630" w:rsidRPr="00A764FF">
        <w:rPr>
          <w:b/>
          <w:i/>
          <w:lang w:val="en-AU"/>
        </w:rPr>
        <w:t>given to the Secretary not less than seven (7) days before the date fixed for the annual general meeting at which the election is to take place.</w:t>
      </w:r>
    </w:p>
    <w:p w14:paraId="2BA7236F" w14:textId="77777777" w:rsidR="006320E5" w:rsidRPr="00A764FF" w:rsidRDefault="006320E5">
      <w:pPr>
        <w:rPr>
          <w:lang w:val="en-AU"/>
        </w:rPr>
      </w:pPr>
    </w:p>
    <w:p w14:paraId="05408A82" w14:textId="14F654E4" w:rsidR="00113CBA" w:rsidRPr="00A764FF" w:rsidRDefault="00113CBA" w:rsidP="00113CBA">
      <w:pPr>
        <w:rPr>
          <w:b/>
          <w:bCs/>
          <w:lang w:val="en-AU"/>
        </w:rPr>
      </w:pPr>
      <w:r w:rsidRPr="00A764FF">
        <w:rPr>
          <w:b/>
          <w:bCs/>
          <w:lang w:val="en-AU"/>
        </w:rPr>
        <w:t>(c)</w:t>
      </w:r>
      <w:r w:rsidRPr="00A764FF">
        <w:rPr>
          <w:lang w:val="en-AU"/>
        </w:rPr>
        <w:t xml:space="preserve"> </w:t>
      </w:r>
      <w:r w:rsidRPr="00A764FF">
        <w:rPr>
          <w:b/>
          <w:bCs/>
          <w:lang w:val="en-AU"/>
        </w:rPr>
        <w:t>Removal of Council Members</w:t>
      </w:r>
    </w:p>
    <w:p w14:paraId="492370EA" w14:textId="6FAFA2C9" w:rsidR="00113CBA" w:rsidRPr="00A764FF" w:rsidRDefault="00113CBA" w:rsidP="00113CBA">
      <w:pPr>
        <w:rPr>
          <w:b/>
          <w:bCs/>
          <w:lang w:val="en-AU"/>
        </w:rPr>
      </w:pPr>
    </w:p>
    <w:p w14:paraId="4004FACC" w14:textId="564109B1" w:rsidR="00113CBA" w:rsidRPr="00A764FF" w:rsidRDefault="00113CBA" w:rsidP="00113CBA">
      <w:pPr>
        <w:rPr>
          <w:lang w:val="en-AU"/>
        </w:rPr>
      </w:pPr>
      <w:r w:rsidRPr="00A764FF">
        <w:rPr>
          <w:lang w:val="en-AU"/>
        </w:rPr>
        <w:t>Clause 6.8 currently refers to the removal of Council members at a general meeting of the Friends.</w:t>
      </w:r>
      <w:r w:rsidR="001B7782" w:rsidRPr="00A764FF">
        <w:rPr>
          <w:lang w:val="en-AU"/>
        </w:rPr>
        <w:t xml:space="preserve"> The Friends only hold Annual General Meetings and may hold Special General Meetings. It is recommended that Clause 6.8 be </w:t>
      </w:r>
      <w:r w:rsidR="001B7782" w:rsidRPr="00311DB1">
        <w:rPr>
          <w:i/>
          <w:iCs/>
          <w:lang w:val="en-AU"/>
        </w:rPr>
        <w:t>replaced</w:t>
      </w:r>
      <w:r w:rsidR="001B7782" w:rsidRPr="00A764FF">
        <w:rPr>
          <w:lang w:val="en-AU"/>
        </w:rPr>
        <w:t xml:space="preserve"> with:</w:t>
      </w:r>
    </w:p>
    <w:p w14:paraId="096A0923" w14:textId="77777777" w:rsidR="001B7782" w:rsidRPr="00A764FF" w:rsidRDefault="001B7782" w:rsidP="00113CBA">
      <w:pPr>
        <w:rPr>
          <w:lang w:val="en-AU"/>
        </w:rPr>
      </w:pPr>
    </w:p>
    <w:p w14:paraId="44C6217F" w14:textId="7AB36C8A" w:rsidR="00AD5173" w:rsidRPr="00A764FF" w:rsidRDefault="001B7782" w:rsidP="001B7782">
      <w:pPr>
        <w:ind w:left="720"/>
        <w:rPr>
          <w:b/>
          <w:bCs/>
          <w:i/>
          <w:iCs/>
          <w:lang w:val="en-AU"/>
        </w:rPr>
      </w:pPr>
      <w:r w:rsidRPr="00A764FF">
        <w:rPr>
          <w:b/>
          <w:bCs/>
          <w:i/>
          <w:iCs/>
          <w:lang w:val="en-AU"/>
        </w:rPr>
        <w:t>Clause 6.8</w:t>
      </w:r>
      <w:r w:rsidR="00AD5173" w:rsidRPr="00A764FF">
        <w:rPr>
          <w:b/>
          <w:bCs/>
          <w:i/>
          <w:iCs/>
          <w:lang w:val="en-AU"/>
        </w:rPr>
        <w:t xml:space="preserve"> Removal of Council Members</w:t>
      </w:r>
    </w:p>
    <w:p w14:paraId="310A2CCD" w14:textId="08EAE098" w:rsidR="00A90C5A" w:rsidRPr="00A764FF" w:rsidRDefault="00AD5173" w:rsidP="00955FFE">
      <w:pPr>
        <w:ind w:left="720"/>
        <w:rPr>
          <w:b/>
          <w:bCs/>
          <w:i/>
          <w:iCs/>
          <w:lang w:val="en-AU"/>
        </w:rPr>
      </w:pPr>
      <w:r w:rsidRPr="00A764FF">
        <w:rPr>
          <w:b/>
          <w:bCs/>
          <w:i/>
          <w:iCs/>
          <w:lang w:val="en-AU"/>
        </w:rPr>
        <w:t>The Friends in either an Annual General Meeting or a Special General Meeting may by resolution, sub</w:t>
      </w:r>
      <w:r w:rsidR="00092D33" w:rsidRPr="00A764FF">
        <w:rPr>
          <w:b/>
          <w:bCs/>
          <w:i/>
          <w:iCs/>
          <w:lang w:val="en-AU"/>
        </w:rPr>
        <w:t>ject to section 50 of the Act (r</w:t>
      </w:r>
      <w:r w:rsidRPr="00A764FF">
        <w:rPr>
          <w:b/>
          <w:bCs/>
          <w:i/>
          <w:iCs/>
          <w:lang w:val="en-AU"/>
        </w:rPr>
        <w:t xml:space="preserve">ules of natural justice), remove any </w:t>
      </w:r>
      <w:r w:rsidR="001B7782" w:rsidRPr="00A764FF">
        <w:rPr>
          <w:b/>
          <w:bCs/>
          <w:i/>
          <w:iCs/>
          <w:lang w:val="en-AU"/>
        </w:rPr>
        <w:t>member</w:t>
      </w:r>
      <w:r w:rsidRPr="00A764FF">
        <w:rPr>
          <w:b/>
          <w:bCs/>
          <w:i/>
          <w:iCs/>
          <w:lang w:val="en-AU"/>
        </w:rPr>
        <w:t xml:space="preserve"> of Council before the end of the member’s term of office.</w:t>
      </w:r>
    </w:p>
    <w:p w14:paraId="4B1490C4" w14:textId="77777777" w:rsidR="006320E5" w:rsidRPr="00A764FF" w:rsidRDefault="006320E5">
      <w:pPr>
        <w:rPr>
          <w:lang w:val="en-AU"/>
        </w:rPr>
      </w:pPr>
    </w:p>
    <w:p w14:paraId="0B1A3A05" w14:textId="2B09249E" w:rsidR="005F2329" w:rsidRPr="00A764FF" w:rsidRDefault="00F73713">
      <w:pPr>
        <w:rPr>
          <w:b/>
          <w:bCs/>
          <w:sz w:val="28"/>
          <w:szCs w:val="28"/>
          <w:lang w:val="en-AU"/>
        </w:rPr>
      </w:pPr>
      <w:r w:rsidRPr="00A764FF">
        <w:rPr>
          <w:b/>
          <w:bCs/>
          <w:sz w:val="28"/>
          <w:szCs w:val="28"/>
          <w:lang w:val="en-AU"/>
        </w:rPr>
        <w:t>3</w:t>
      </w:r>
      <w:r w:rsidR="00484B58" w:rsidRPr="00A764FF">
        <w:rPr>
          <w:b/>
          <w:bCs/>
          <w:sz w:val="28"/>
          <w:szCs w:val="28"/>
          <w:lang w:val="en-AU"/>
        </w:rPr>
        <w:t xml:space="preserve">. </w:t>
      </w:r>
      <w:r w:rsidR="005C40C7" w:rsidRPr="00A764FF">
        <w:rPr>
          <w:b/>
          <w:bCs/>
          <w:sz w:val="28"/>
          <w:szCs w:val="28"/>
          <w:lang w:val="en-AU"/>
        </w:rPr>
        <w:t xml:space="preserve">New Provisions in line with current Legislation and </w:t>
      </w:r>
      <w:r w:rsidRPr="00A764FF">
        <w:rPr>
          <w:b/>
          <w:bCs/>
          <w:sz w:val="28"/>
          <w:szCs w:val="28"/>
          <w:lang w:val="en-AU"/>
        </w:rPr>
        <w:t xml:space="preserve">ACNC best practice </w:t>
      </w:r>
    </w:p>
    <w:p w14:paraId="2C58400C" w14:textId="170AA629" w:rsidR="00200D64" w:rsidRPr="00A764FF" w:rsidRDefault="00200D64" w:rsidP="00200D64">
      <w:pPr>
        <w:rPr>
          <w:lang w:val="en-AU"/>
        </w:rPr>
      </w:pPr>
    </w:p>
    <w:p w14:paraId="650E546C" w14:textId="77777777" w:rsidR="004C6BB1" w:rsidRPr="00A764FF" w:rsidRDefault="00682180" w:rsidP="00200D64">
      <w:pPr>
        <w:rPr>
          <w:lang w:val="en-AU"/>
        </w:rPr>
      </w:pPr>
      <w:r w:rsidRPr="00A764FF">
        <w:rPr>
          <w:b/>
          <w:bCs/>
          <w:lang w:val="en-AU"/>
        </w:rPr>
        <w:t>(</w:t>
      </w:r>
      <w:r w:rsidR="002F67DD" w:rsidRPr="00A764FF">
        <w:rPr>
          <w:b/>
          <w:bCs/>
          <w:lang w:val="en-AU"/>
        </w:rPr>
        <w:t>a</w:t>
      </w:r>
      <w:r w:rsidRPr="00A764FF">
        <w:rPr>
          <w:b/>
          <w:bCs/>
          <w:lang w:val="en-AU"/>
        </w:rPr>
        <w:t>) Proxy Voting</w:t>
      </w:r>
      <w:r w:rsidRPr="00A764FF">
        <w:rPr>
          <w:lang w:val="en-AU"/>
        </w:rPr>
        <w:t xml:space="preserve"> </w:t>
      </w:r>
    </w:p>
    <w:p w14:paraId="365CA7D5" w14:textId="77777777" w:rsidR="004C6BB1" w:rsidRPr="00A764FF" w:rsidRDefault="004C6BB1" w:rsidP="00200D64">
      <w:pPr>
        <w:rPr>
          <w:lang w:val="en-AU"/>
        </w:rPr>
      </w:pPr>
    </w:p>
    <w:p w14:paraId="239CC8C9" w14:textId="041D1009" w:rsidR="00916D49" w:rsidRPr="00A764FF" w:rsidRDefault="00200D64" w:rsidP="00916D49">
      <w:pPr>
        <w:rPr>
          <w:lang w:val="en-AU"/>
        </w:rPr>
      </w:pPr>
      <w:r w:rsidRPr="00A764FF">
        <w:rPr>
          <w:lang w:val="en-AU"/>
        </w:rPr>
        <w:t xml:space="preserve">The Constitution currently does not allow proxy voting (see clause 7.2.6 (d)). This disadvantages members who are not able to attend a meeting, is inconsistent with principles of fairness and equity, and </w:t>
      </w:r>
      <w:r w:rsidR="004C21E2">
        <w:rPr>
          <w:lang w:val="en-AU"/>
        </w:rPr>
        <w:t xml:space="preserve">is </w:t>
      </w:r>
      <w:r w:rsidRPr="00A764FF">
        <w:rPr>
          <w:lang w:val="en-AU"/>
        </w:rPr>
        <w:t xml:space="preserve">inconsistent with the </w:t>
      </w:r>
      <w:r w:rsidR="005C40C7" w:rsidRPr="00A764FF">
        <w:rPr>
          <w:lang w:val="en-AU"/>
        </w:rPr>
        <w:t xml:space="preserve">ACT legislation and </w:t>
      </w:r>
      <w:r w:rsidRPr="00A764FF">
        <w:rPr>
          <w:lang w:val="en-AU"/>
        </w:rPr>
        <w:t xml:space="preserve">ACNC template. </w:t>
      </w:r>
      <w:r w:rsidR="002F67DD" w:rsidRPr="00A764FF">
        <w:rPr>
          <w:lang w:val="en-AU"/>
        </w:rPr>
        <w:t>A</w:t>
      </w:r>
      <w:r w:rsidRPr="00A764FF">
        <w:rPr>
          <w:lang w:val="en-AU"/>
        </w:rPr>
        <w:t>n a</w:t>
      </w:r>
      <w:r w:rsidR="00DE212C" w:rsidRPr="00A764FF">
        <w:rPr>
          <w:lang w:val="en-AU"/>
        </w:rPr>
        <w:t>dditional</w:t>
      </w:r>
      <w:r w:rsidRPr="00A764FF">
        <w:rPr>
          <w:lang w:val="en-AU"/>
        </w:rPr>
        <w:t xml:space="preserve"> new clause 7.2.7 </w:t>
      </w:r>
      <w:r w:rsidR="00DE212C" w:rsidRPr="00A764FF">
        <w:rPr>
          <w:lang w:val="en-AU"/>
        </w:rPr>
        <w:t xml:space="preserve">should </w:t>
      </w:r>
      <w:r w:rsidRPr="00A764FF">
        <w:rPr>
          <w:lang w:val="en-AU"/>
        </w:rPr>
        <w:t xml:space="preserve">be </w:t>
      </w:r>
      <w:r w:rsidRPr="00311DB1">
        <w:rPr>
          <w:i/>
          <w:iCs/>
          <w:lang w:val="en-AU"/>
        </w:rPr>
        <w:t>inserted</w:t>
      </w:r>
      <w:r w:rsidRPr="00A764FF">
        <w:rPr>
          <w:b/>
          <w:bCs/>
          <w:lang w:val="en-AU"/>
        </w:rPr>
        <w:t xml:space="preserve"> </w:t>
      </w:r>
      <w:r w:rsidRPr="00A764FF">
        <w:rPr>
          <w:lang w:val="en-AU"/>
        </w:rPr>
        <w:t>as follows:</w:t>
      </w:r>
    </w:p>
    <w:p w14:paraId="2A1BD65E" w14:textId="77777777" w:rsidR="00916D49" w:rsidRPr="00A764FF" w:rsidRDefault="00916D49" w:rsidP="00916D49">
      <w:pPr>
        <w:rPr>
          <w:lang w:val="en-AU"/>
        </w:rPr>
      </w:pPr>
    </w:p>
    <w:p w14:paraId="6FADD58C" w14:textId="19268607" w:rsidR="00200D64" w:rsidRPr="00A764FF" w:rsidRDefault="00200D64" w:rsidP="00916D49">
      <w:pPr>
        <w:rPr>
          <w:lang w:val="en-AU"/>
        </w:rPr>
      </w:pPr>
      <w:r w:rsidRPr="00A764FF">
        <w:rPr>
          <w:b/>
          <w:i/>
          <w:lang w:val="en-AU"/>
        </w:rPr>
        <w:t>Clause 7.2.7</w:t>
      </w:r>
      <w:r w:rsidR="00682180" w:rsidRPr="00A764FF">
        <w:rPr>
          <w:b/>
          <w:i/>
          <w:lang w:val="en-AU"/>
        </w:rPr>
        <w:t xml:space="preserve"> </w:t>
      </w:r>
      <w:r w:rsidR="00135024" w:rsidRPr="00A764FF">
        <w:rPr>
          <w:b/>
          <w:i/>
          <w:lang w:val="en-AU"/>
        </w:rPr>
        <w:t>Appointment of a Proxy</w:t>
      </w:r>
    </w:p>
    <w:p w14:paraId="639F2136" w14:textId="2BC66EA5" w:rsidR="00135024" w:rsidRPr="00A764FF" w:rsidRDefault="00DE212C" w:rsidP="00DE212C">
      <w:pPr>
        <w:ind w:left="720"/>
        <w:rPr>
          <w:b/>
          <w:bCs/>
          <w:i/>
          <w:lang w:val="en-AU"/>
        </w:rPr>
      </w:pPr>
      <w:r w:rsidRPr="00A764FF">
        <w:rPr>
          <w:b/>
          <w:bCs/>
          <w:i/>
          <w:lang w:val="en-AU"/>
        </w:rPr>
        <w:t xml:space="preserve">(a) </w:t>
      </w:r>
      <w:r w:rsidR="00135024" w:rsidRPr="00A764FF">
        <w:rPr>
          <w:b/>
          <w:bCs/>
          <w:i/>
          <w:lang w:val="en-AU"/>
        </w:rPr>
        <w:t xml:space="preserve">A </w:t>
      </w:r>
      <w:r w:rsidR="00CF20C9" w:rsidRPr="00A764FF">
        <w:rPr>
          <w:b/>
          <w:bCs/>
          <w:i/>
          <w:lang w:val="en-AU"/>
        </w:rPr>
        <w:t xml:space="preserve">voting </w:t>
      </w:r>
      <w:r w:rsidR="00135024" w:rsidRPr="00A764FF">
        <w:rPr>
          <w:b/>
          <w:bCs/>
          <w:i/>
          <w:lang w:val="en-AU"/>
        </w:rPr>
        <w:t>member</w:t>
      </w:r>
      <w:r w:rsidR="00AD5173" w:rsidRPr="00A764FF">
        <w:rPr>
          <w:b/>
          <w:bCs/>
          <w:i/>
          <w:lang w:val="en-AU"/>
        </w:rPr>
        <w:t xml:space="preserve"> is entitled to </w:t>
      </w:r>
      <w:r w:rsidR="00135024" w:rsidRPr="00A764FF">
        <w:rPr>
          <w:b/>
          <w:bCs/>
          <w:i/>
          <w:lang w:val="en-AU"/>
        </w:rPr>
        <w:t xml:space="preserve">appoint </w:t>
      </w:r>
      <w:r w:rsidR="00AD5173" w:rsidRPr="00A764FF">
        <w:rPr>
          <w:b/>
          <w:bCs/>
          <w:i/>
          <w:lang w:val="en-AU"/>
        </w:rPr>
        <w:t xml:space="preserve">another </w:t>
      </w:r>
      <w:r w:rsidR="00092D33" w:rsidRPr="00A764FF">
        <w:rPr>
          <w:b/>
          <w:bCs/>
          <w:i/>
          <w:lang w:val="en-AU"/>
        </w:rPr>
        <w:t xml:space="preserve">voting </w:t>
      </w:r>
      <w:r w:rsidR="00AD5173" w:rsidRPr="00A764FF">
        <w:rPr>
          <w:b/>
          <w:bCs/>
          <w:i/>
          <w:lang w:val="en-AU"/>
        </w:rPr>
        <w:t xml:space="preserve">member as </w:t>
      </w:r>
      <w:r w:rsidR="00135024" w:rsidRPr="00A764FF">
        <w:rPr>
          <w:b/>
          <w:bCs/>
          <w:i/>
          <w:lang w:val="en-AU"/>
        </w:rPr>
        <w:t xml:space="preserve">proxy </w:t>
      </w:r>
      <w:r w:rsidR="003F0587" w:rsidRPr="00A764FF">
        <w:rPr>
          <w:b/>
          <w:bCs/>
          <w:i/>
          <w:lang w:val="en-AU"/>
        </w:rPr>
        <w:t>by notice given to the Secretary no later than 24 hours before the time of the meeting for which the proxy is appointed.</w:t>
      </w:r>
    </w:p>
    <w:p w14:paraId="41E3EB82" w14:textId="7358A30D" w:rsidR="00135024" w:rsidRPr="00A764FF" w:rsidRDefault="00C75C9A" w:rsidP="00DE212C">
      <w:pPr>
        <w:ind w:left="720"/>
        <w:rPr>
          <w:b/>
          <w:bCs/>
          <w:i/>
          <w:lang w:val="en-AU"/>
        </w:rPr>
      </w:pPr>
      <w:r w:rsidRPr="00A764FF">
        <w:rPr>
          <w:b/>
          <w:bCs/>
          <w:i/>
          <w:lang w:val="en-AU"/>
        </w:rPr>
        <w:t>(</w:t>
      </w:r>
      <w:r w:rsidR="003F0587" w:rsidRPr="00A764FF">
        <w:rPr>
          <w:b/>
          <w:bCs/>
          <w:i/>
          <w:lang w:val="en-AU"/>
        </w:rPr>
        <w:t>b</w:t>
      </w:r>
      <w:r w:rsidRPr="00A764FF">
        <w:rPr>
          <w:b/>
          <w:bCs/>
          <w:i/>
          <w:lang w:val="en-AU"/>
        </w:rPr>
        <w:t xml:space="preserve">) </w:t>
      </w:r>
      <w:r w:rsidR="00135024" w:rsidRPr="00A764FF">
        <w:rPr>
          <w:b/>
          <w:bCs/>
          <w:i/>
          <w:lang w:val="en-AU"/>
        </w:rPr>
        <w:t>An appointment of proxy (proxy form) must be signed by the member appointing the member and must contain:</w:t>
      </w:r>
    </w:p>
    <w:p w14:paraId="032C212A" w14:textId="7A7F7742" w:rsidR="00135024" w:rsidRPr="00A764FF" w:rsidRDefault="00135024" w:rsidP="00D01847">
      <w:pPr>
        <w:pStyle w:val="ListParagraph"/>
        <w:numPr>
          <w:ilvl w:val="0"/>
          <w:numId w:val="7"/>
        </w:numPr>
        <w:ind w:firstLine="0"/>
        <w:rPr>
          <w:rFonts w:ascii="Cambria" w:hAnsi="Cambria"/>
          <w:b/>
          <w:i/>
          <w:sz w:val="24"/>
          <w:szCs w:val="24"/>
        </w:rPr>
      </w:pPr>
      <w:r w:rsidRPr="00A764FF">
        <w:rPr>
          <w:rFonts w:ascii="Cambria" w:hAnsi="Cambria"/>
          <w:b/>
          <w:i/>
          <w:sz w:val="24"/>
          <w:szCs w:val="24"/>
        </w:rPr>
        <w:lastRenderedPageBreak/>
        <w:t>the member’s name and address</w:t>
      </w:r>
    </w:p>
    <w:p w14:paraId="2D708B4A" w14:textId="070F2687" w:rsidR="00135024" w:rsidRPr="00A764FF" w:rsidRDefault="00135024" w:rsidP="00D01847">
      <w:pPr>
        <w:pStyle w:val="ListParagraph"/>
        <w:numPr>
          <w:ilvl w:val="0"/>
          <w:numId w:val="7"/>
        </w:numPr>
        <w:ind w:firstLine="0"/>
        <w:rPr>
          <w:rFonts w:ascii="Cambria" w:hAnsi="Cambria"/>
          <w:b/>
          <w:i/>
          <w:sz w:val="24"/>
          <w:szCs w:val="24"/>
        </w:rPr>
      </w:pPr>
      <w:r w:rsidRPr="00A764FF">
        <w:rPr>
          <w:rFonts w:ascii="Cambria" w:hAnsi="Cambria"/>
          <w:b/>
          <w:i/>
          <w:sz w:val="24"/>
          <w:szCs w:val="24"/>
        </w:rPr>
        <w:t>the proxy’s name and address</w:t>
      </w:r>
    </w:p>
    <w:p w14:paraId="339E9BA7" w14:textId="0A22FE9D" w:rsidR="00135024" w:rsidRPr="00A764FF" w:rsidRDefault="00135024" w:rsidP="00D01847">
      <w:pPr>
        <w:pStyle w:val="ListParagraph"/>
        <w:numPr>
          <w:ilvl w:val="0"/>
          <w:numId w:val="7"/>
        </w:numPr>
        <w:ind w:firstLine="0"/>
        <w:rPr>
          <w:rFonts w:ascii="Cambria" w:hAnsi="Cambria"/>
          <w:b/>
          <w:i/>
          <w:sz w:val="24"/>
          <w:szCs w:val="24"/>
        </w:rPr>
      </w:pPr>
      <w:r w:rsidRPr="00A764FF">
        <w:rPr>
          <w:rFonts w:ascii="Cambria" w:hAnsi="Cambria"/>
          <w:b/>
          <w:i/>
          <w:sz w:val="24"/>
          <w:szCs w:val="24"/>
        </w:rPr>
        <w:t>the meetings at which the appointment may be used</w:t>
      </w:r>
      <w:r w:rsidR="00791CE9" w:rsidRPr="00A764FF">
        <w:rPr>
          <w:rFonts w:ascii="Cambria" w:hAnsi="Cambria"/>
          <w:b/>
          <w:i/>
          <w:sz w:val="24"/>
          <w:szCs w:val="24"/>
        </w:rPr>
        <w:t>; and</w:t>
      </w:r>
    </w:p>
    <w:p w14:paraId="5E1ECD45" w14:textId="2637C4D5" w:rsidR="00135024" w:rsidRPr="00A764FF" w:rsidRDefault="00135024" w:rsidP="00D01847">
      <w:pPr>
        <w:pStyle w:val="ListParagraph"/>
        <w:numPr>
          <w:ilvl w:val="0"/>
          <w:numId w:val="7"/>
        </w:numPr>
        <w:ind w:firstLine="0"/>
        <w:rPr>
          <w:rFonts w:ascii="Cambria" w:hAnsi="Cambria"/>
          <w:b/>
          <w:i/>
          <w:sz w:val="24"/>
          <w:szCs w:val="24"/>
        </w:rPr>
      </w:pPr>
      <w:r w:rsidRPr="00A764FF">
        <w:rPr>
          <w:rFonts w:ascii="Cambria" w:hAnsi="Cambria"/>
          <w:b/>
          <w:i/>
          <w:sz w:val="24"/>
          <w:szCs w:val="24"/>
        </w:rPr>
        <w:t>directions on how to vote, if any.</w:t>
      </w:r>
    </w:p>
    <w:p w14:paraId="652E0FBC" w14:textId="32849423" w:rsidR="008262E3" w:rsidRPr="00A764FF" w:rsidRDefault="003F0587" w:rsidP="003F0587">
      <w:pPr>
        <w:pStyle w:val="ListParagraph"/>
        <w:rPr>
          <w:rFonts w:ascii="Cambria" w:eastAsia="Cambria" w:hAnsi="Cambria" w:cs="Cambria"/>
          <w:b/>
          <w:bCs/>
          <w:i/>
          <w:sz w:val="24"/>
          <w:szCs w:val="24"/>
          <w:lang w:eastAsia="en-GB"/>
        </w:rPr>
      </w:pPr>
      <w:r w:rsidRPr="00A764FF">
        <w:rPr>
          <w:rFonts w:ascii="Cambria" w:eastAsia="Cambria" w:hAnsi="Cambria" w:cs="Cambria"/>
          <w:b/>
          <w:bCs/>
          <w:i/>
          <w:sz w:val="24"/>
          <w:szCs w:val="24"/>
          <w:lang w:eastAsia="en-GB"/>
        </w:rPr>
        <w:t>(c) A proxy appointed to attend and vote for a member does not have the authority to vote at a meeting while the member is at the meeting</w:t>
      </w:r>
      <w:r w:rsidR="001C2529" w:rsidRPr="00A764FF">
        <w:rPr>
          <w:rFonts w:ascii="Cambria" w:eastAsia="Cambria" w:hAnsi="Cambria" w:cs="Cambria"/>
          <w:b/>
          <w:bCs/>
          <w:i/>
          <w:sz w:val="24"/>
          <w:szCs w:val="24"/>
          <w:lang w:eastAsia="en-GB"/>
        </w:rPr>
        <w:t>.</w:t>
      </w:r>
    </w:p>
    <w:p w14:paraId="6AE1AD86" w14:textId="21E696E6" w:rsidR="003F0587" w:rsidRPr="00A764FF" w:rsidRDefault="005C40C7" w:rsidP="00200D64">
      <w:pPr>
        <w:rPr>
          <w:lang w:val="en-AU"/>
        </w:rPr>
      </w:pPr>
      <w:r w:rsidRPr="00A764FF">
        <w:rPr>
          <w:lang w:val="en-AU"/>
        </w:rPr>
        <w:t xml:space="preserve">This means </w:t>
      </w:r>
      <w:r w:rsidR="00A86E82" w:rsidRPr="00A764FF">
        <w:rPr>
          <w:lang w:val="en-AU"/>
        </w:rPr>
        <w:t xml:space="preserve">current </w:t>
      </w:r>
      <w:r w:rsidRPr="00A764FF">
        <w:rPr>
          <w:lang w:val="en-AU"/>
        </w:rPr>
        <w:t xml:space="preserve">Clause </w:t>
      </w:r>
      <w:r w:rsidR="009615A8" w:rsidRPr="00A764FF">
        <w:rPr>
          <w:lang w:val="en-AU"/>
        </w:rPr>
        <w:t>7.2.7 becomes Clause 7.2.8</w:t>
      </w:r>
      <w:r w:rsidR="00FD7020" w:rsidRPr="00A764FF">
        <w:rPr>
          <w:lang w:val="en-AU"/>
        </w:rPr>
        <w:t>.</w:t>
      </w:r>
    </w:p>
    <w:p w14:paraId="76A8105D" w14:textId="77777777" w:rsidR="003F0587" w:rsidRPr="00A764FF" w:rsidRDefault="003F0587" w:rsidP="00200D64">
      <w:pPr>
        <w:rPr>
          <w:lang w:val="en-AU"/>
        </w:rPr>
      </w:pPr>
    </w:p>
    <w:p w14:paraId="1CE64BAF" w14:textId="6ECAD707" w:rsidR="00E61C92" w:rsidRPr="00A764FF" w:rsidRDefault="00FD7020" w:rsidP="00200D64">
      <w:pPr>
        <w:rPr>
          <w:b/>
          <w:bCs/>
          <w:lang w:val="en-AU"/>
        </w:rPr>
      </w:pPr>
      <w:r w:rsidRPr="00A764FF">
        <w:rPr>
          <w:b/>
          <w:bCs/>
          <w:lang w:val="en-AU"/>
        </w:rPr>
        <w:t xml:space="preserve">To reflect proxy voting, three other consequential </w:t>
      </w:r>
      <w:r w:rsidR="00A7385B" w:rsidRPr="00A764FF">
        <w:rPr>
          <w:b/>
          <w:bCs/>
          <w:lang w:val="en-AU"/>
        </w:rPr>
        <w:t xml:space="preserve">changes </w:t>
      </w:r>
      <w:r w:rsidRPr="00A764FF">
        <w:rPr>
          <w:b/>
          <w:bCs/>
          <w:lang w:val="en-AU"/>
        </w:rPr>
        <w:t>are necessary and are</w:t>
      </w:r>
      <w:r w:rsidR="00A7385B" w:rsidRPr="00A764FF">
        <w:rPr>
          <w:b/>
          <w:bCs/>
          <w:lang w:val="en-AU"/>
        </w:rPr>
        <w:t xml:space="preserve"> discussed below</w:t>
      </w:r>
      <w:r w:rsidRPr="00A764FF">
        <w:rPr>
          <w:b/>
          <w:bCs/>
          <w:lang w:val="en-AU"/>
        </w:rPr>
        <w:t>.</w:t>
      </w:r>
    </w:p>
    <w:p w14:paraId="5895FF9C" w14:textId="77777777" w:rsidR="00FD7020" w:rsidRPr="00A764FF" w:rsidRDefault="00FD7020" w:rsidP="00200D64">
      <w:pPr>
        <w:rPr>
          <w:lang w:val="en-AU"/>
        </w:rPr>
      </w:pPr>
    </w:p>
    <w:p w14:paraId="6F458058" w14:textId="515B0778" w:rsidR="004449D9" w:rsidRPr="00A764FF" w:rsidRDefault="004449D9" w:rsidP="004449D9">
      <w:pPr>
        <w:rPr>
          <w:lang w:val="en-AU"/>
        </w:rPr>
      </w:pPr>
      <w:r w:rsidRPr="00A764FF">
        <w:rPr>
          <w:b/>
          <w:bCs/>
          <w:lang w:val="en-AU"/>
        </w:rPr>
        <w:t>(b</w:t>
      </w:r>
      <w:r w:rsidR="00A7385B" w:rsidRPr="00A764FF">
        <w:rPr>
          <w:b/>
          <w:bCs/>
          <w:lang w:val="en-AU"/>
        </w:rPr>
        <w:t xml:space="preserve">) </w:t>
      </w:r>
      <w:r w:rsidR="002F67DD" w:rsidRPr="00A764FF">
        <w:rPr>
          <w:b/>
          <w:bCs/>
          <w:lang w:val="en-AU"/>
        </w:rPr>
        <w:t>Clause 7.2.6 Voting</w:t>
      </w:r>
      <w:r w:rsidR="002F67DD" w:rsidRPr="00A764FF">
        <w:rPr>
          <w:lang w:val="en-AU"/>
        </w:rPr>
        <w:t xml:space="preserve"> </w:t>
      </w:r>
      <w:r w:rsidR="004C6BB1" w:rsidRPr="00A764FF">
        <w:rPr>
          <w:lang w:val="en-AU"/>
        </w:rPr>
        <w:t xml:space="preserve"> </w:t>
      </w:r>
    </w:p>
    <w:p w14:paraId="4ED904C2" w14:textId="77777777" w:rsidR="004449D9" w:rsidRPr="00A764FF" w:rsidRDefault="004449D9" w:rsidP="004449D9">
      <w:pPr>
        <w:rPr>
          <w:lang w:val="en-AU"/>
        </w:rPr>
      </w:pPr>
    </w:p>
    <w:p w14:paraId="48852836" w14:textId="3AE05052" w:rsidR="00FD7020" w:rsidRPr="00A764FF" w:rsidRDefault="00FD7020" w:rsidP="004449D9">
      <w:pPr>
        <w:rPr>
          <w:lang w:val="en-AU"/>
        </w:rPr>
      </w:pPr>
      <w:r w:rsidRPr="00A764FF">
        <w:rPr>
          <w:lang w:val="en-AU"/>
        </w:rPr>
        <w:t>As indicated above</w:t>
      </w:r>
      <w:r w:rsidR="00A7385B" w:rsidRPr="00A764FF">
        <w:rPr>
          <w:lang w:val="en-AU"/>
        </w:rPr>
        <w:t xml:space="preserve">, this clause requires </w:t>
      </w:r>
      <w:r w:rsidRPr="00A764FF">
        <w:rPr>
          <w:lang w:val="en-AU"/>
        </w:rPr>
        <w:t xml:space="preserve">amendment to cover proxy voting </w:t>
      </w:r>
      <w:r w:rsidR="00A7385B" w:rsidRPr="00A764FF">
        <w:rPr>
          <w:lang w:val="en-AU"/>
        </w:rPr>
        <w:t xml:space="preserve">and </w:t>
      </w:r>
      <w:r w:rsidRPr="00A764FF">
        <w:rPr>
          <w:lang w:val="en-AU"/>
        </w:rPr>
        <w:t xml:space="preserve">should </w:t>
      </w:r>
      <w:r w:rsidR="001C2529" w:rsidRPr="00A764FF">
        <w:rPr>
          <w:lang w:val="en-AU"/>
        </w:rPr>
        <w:t xml:space="preserve">also </w:t>
      </w:r>
      <w:r w:rsidRPr="00A764FF">
        <w:rPr>
          <w:lang w:val="en-AU"/>
        </w:rPr>
        <w:t>clarify member entitlements.</w:t>
      </w:r>
      <w:r w:rsidR="002F67DD" w:rsidRPr="00A764FF">
        <w:rPr>
          <w:lang w:val="en-AU"/>
        </w:rPr>
        <w:t xml:space="preserve"> It is recommended that the current clause 7.2.6 be </w:t>
      </w:r>
      <w:r w:rsidR="002F67DD" w:rsidRPr="00311DB1">
        <w:rPr>
          <w:i/>
          <w:iCs/>
          <w:lang w:val="en-AU"/>
        </w:rPr>
        <w:t>replaced</w:t>
      </w:r>
      <w:r w:rsidR="002F67DD" w:rsidRPr="00311DB1">
        <w:rPr>
          <w:lang w:val="en-AU"/>
        </w:rPr>
        <w:t xml:space="preserve"> with</w:t>
      </w:r>
      <w:r w:rsidR="004C6BB1" w:rsidRPr="00A764FF">
        <w:rPr>
          <w:lang w:val="en-AU"/>
        </w:rPr>
        <w:t>:</w:t>
      </w:r>
    </w:p>
    <w:p w14:paraId="376476D6" w14:textId="77777777" w:rsidR="00FD7020" w:rsidRPr="00A764FF" w:rsidRDefault="00FD7020" w:rsidP="000E798B">
      <w:pPr>
        <w:rPr>
          <w:b/>
          <w:bCs/>
          <w:lang w:val="en-AU"/>
        </w:rPr>
      </w:pPr>
    </w:p>
    <w:p w14:paraId="2F270778" w14:textId="77777777" w:rsidR="000E798B" w:rsidRPr="00A764FF" w:rsidRDefault="000E798B" w:rsidP="000E798B">
      <w:pPr>
        <w:rPr>
          <w:b/>
          <w:bCs/>
          <w:lang w:val="en-AU"/>
        </w:rPr>
      </w:pPr>
      <w:r w:rsidRPr="00A764FF">
        <w:rPr>
          <w:b/>
          <w:bCs/>
          <w:lang w:val="en-AU"/>
        </w:rPr>
        <w:t>Clause 7.2.6 Voting</w:t>
      </w:r>
    </w:p>
    <w:p w14:paraId="07566349" w14:textId="77777777" w:rsidR="000E798B" w:rsidRPr="00A764FF" w:rsidRDefault="000E798B" w:rsidP="000E798B">
      <w:pPr>
        <w:pBdr>
          <w:top w:val="nil"/>
          <w:left w:val="nil"/>
          <w:bottom w:val="nil"/>
          <w:right w:val="nil"/>
          <w:between w:val="nil"/>
        </w:pBdr>
        <w:spacing w:before="100"/>
        <w:ind w:left="720"/>
        <w:rPr>
          <w:b/>
          <w:bCs/>
          <w:i/>
          <w:color w:val="000000"/>
          <w:lang w:val="en-AU"/>
        </w:rPr>
      </w:pPr>
      <w:r w:rsidRPr="00A764FF">
        <w:rPr>
          <w:b/>
          <w:bCs/>
          <w:i/>
          <w:color w:val="000000"/>
          <w:lang w:val="en-AU"/>
        </w:rPr>
        <w:t xml:space="preserve">(a) Voting at an annual general or special general meeting shall be decided by: </w:t>
      </w:r>
    </w:p>
    <w:p w14:paraId="182B8F16" w14:textId="77777777" w:rsidR="000E798B" w:rsidRPr="00A764FF" w:rsidRDefault="000E798B" w:rsidP="000E798B">
      <w:pPr>
        <w:ind w:left="1440"/>
        <w:rPr>
          <w:b/>
          <w:bCs/>
          <w:i/>
          <w:lang w:val="en-AU"/>
        </w:rPr>
      </w:pPr>
      <w:r w:rsidRPr="00A764FF">
        <w:rPr>
          <w:b/>
          <w:bCs/>
          <w:i/>
          <w:lang w:val="en-AU"/>
        </w:rPr>
        <w:t>(</w:t>
      </w:r>
      <w:proofErr w:type="spellStart"/>
      <w:r w:rsidRPr="00A764FF">
        <w:rPr>
          <w:b/>
          <w:bCs/>
          <w:i/>
          <w:lang w:val="en-AU"/>
        </w:rPr>
        <w:t>i</w:t>
      </w:r>
      <w:proofErr w:type="spellEnd"/>
      <w:r w:rsidRPr="00A764FF">
        <w:rPr>
          <w:b/>
          <w:bCs/>
          <w:i/>
          <w:lang w:val="en-AU"/>
        </w:rPr>
        <w:t>)</w:t>
      </w:r>
      <w:r w:rsidRPr="00A764FF">
        <w:rPr>
          <w:b/>
          <w:bCs/>
          <w:i/>
          <w:lang w:val="en-AU"/>
        </w:rPr>
        <w:tab/>
        <w:t>a show of hands, or</w:t>
      </w:r>
    </w:p>
    <w:p w14:paraId="5A1CEEDF" w14:textId="05E4542A" w:rsidR="000E798B" w:rsidRPr="00A764FF" w:rsidRDefault="000E798B" w:rsidP="00A06FFC">
      <w:pPr>
        <w:ind w:left="1440"/>
        <w:rPr>
          <w:b/>
          <w:bCs/>
          <w:i/>
          <w:lang w:val="en-AU"/>
        </w:rPr>
      </w:pPr>
      <w:r w:rsidRPr="00A764FF">
        <w:rPr>
          <w:b/>
          <w:bCs/>
          <w:i/>
          <w:lang w:val="en-AU"/>
        </w:rPr>
        <w:t>(ii)</w:t>
      </w:r>
      <w:r w:rsidRPr="00A764FF">
        <w:rPr>
          <w:b/>
          <w:bCs/>
          <w:i/>
          <w:lang w:val="en-AU"/>
        </w:rPr>
        <w:tab/>
        <w:t xml:space="preserve">a secret ballot if before the vote is taken a motion is carried by twenty-five percent (25%) of </w:t>
      </w:r>
      <w:r w:rsidR="00A06FFC" w:rsidRPr="00A764FF">
        <w:rPr>
          <w:b/>
          <w:bCs/>
          <w:i/>
          <w:lang w:val="en-AU"/>
        </w:rPr>
        <w:t>vot</w:t>
      </w:r>
      <w:r w:rsidR="00201AA9" w:rsidRPr="00A764FF">
        <w:rPr>
          <w:b/>
          <w:bCs/>
          <w:i/>
          <w:lang w:val="en-AU"/>
        </w:rPr>
        <w:t xml:space="preserve">ing </w:t>
      </w:r>
      <w:r w:rsidRPr="00A764FF">
        <w:rPr>
          <w:b/>
          <w:bCs/>
          <w:i/>
          <w:lang w:val="en-AU"/>
        </w:rPr>
        <w:t>members present requesting this form of vote.</w:t>
      </w:r>
    </w:p>
    <w:p w14:paraId="2304BD7A" w14:textId="52485318" w:rsidR="000E798B" w:rsidRPr="00A764FF" w:rsidRDefault="00937F6A" w:rsidP="000E798B">
      <w:pPr>
        <w:ind w:left="720"/>
        <w:rPr>
          <w:b/>
          <w:bCs/>
          <w:i/>
          <w:lang w:val="en-AU"/>
        </w:rPr>
      </w:pPr>
      <w:r w:rsidRPr="00A764FF">
        <w:rPr>
          <w:b/>
          <w:bCs/>
          <w:i/>
          <w:lang w:val="en-AU"/>
        </w:rPr>
        <w:t>(b) Members with Individual or</w:t>
      </w:r>
      <w:r w:rsidR="000E798B" w:rsidRPr="00A764FF">
        <w:rPr>
          <w:b/>
          <w:bCs/>
          <w:i/>
          <w:lang w:val="en-AU"/>
        </w:rPr>
        <w:t xml:space="preserve"> Life membership will have one vote</w:t>
      </w:r>
      <w:r w:rsidR="00771A75" w:rsidRPr="00A764FF">
        <w:rPr>
          <w:b/>
          <w:bCs/>
          <w:i/>
          <w:lang w:val="en-AU"/>
        </w:rPr>
        <w:t xml:space="preserve"> if present at the meeting</w:t>
      </w:r>
      <w:r w:rsidR="00FB20F7" w:rsidRPr="00A764FF">
        <w:rPr>
          <w:b/>
          <w:bCs/>
          <w:i/>
          <w:lang w:val="en-AU"/>
        </w:rPr>
        <w:t xml:space="preserve"> </w:t>
      </w:r>
      <w:r w:rsidR="001C2529" w:rsidRPr="00A764FF">
        <w:rPr>
          <w:b/>
          <w:bCs/>
          <w:i/>
          <w:lang w:val="en-AU"/>
        </w:rPr>
        <w:t>or by proxy</w:t>
      </w:r>
      <w:r w:rsidR="000E798B" w:rsidRPr="00A764FF">
        <w:rPr>
          <w:b/>
          <w:bCs/>
          <w:i/>
          <w:lang w:val="en-AU"/>
        </w:rPr>
        <w:t xml:space="preserve">. </w:t>
      </w:r>
    </w:p>
    <w:p w14:paraId="07E5AA58" w14:textId="366EF746" w:rsidR="000E798B" w:rsidRPr="00A764FF" w:rsidRDefault="000E798B" w:rsidP="000E798B">
      <w:pPr>
        <w:ind w:left="720"/>
        <w:rPr>
          <w:b/>
          <w:bCs/>
          <w:i/>
          <w:lang w:val="en-AU"/>
        </w:rPr>
      </w:pPr>
      <w:r w:rsidRPr="00A764FF">
        <w:rPr>
          <w:b/>
          <w:bCs/>
          <w:i/>
          <w:lang w:val="en-AU"/>
        </w:rPr>
        <w:t xml:space="preserve">(c) </w:t>
      </w:r>
      <w:r w:rsidR="00F65192" w:rsidRPr="00A764FF">
        <w:rPr>
          <w:b/>
          <w:bCs/>
          <w:i/>
          <w:lang w:val="en-AU"/>
        </w:rPr>
        <w:t xml:space="preserve">The first two nominated </w:t>
      </w:r>
      <w:r w:rsidRPr="00A764FF">
        <w:rPr>
          <w:b/>
          <w:bCs/>
          <w:i/>
          <w:lang w:val="en-AU"/>
        </w:rPr>
        <w:t>members from each House</w:t>
      </w:r>
      <w:r w:rsidR="00771A75" w:rsidRPr="00A764FF">
        <w:rPr>
          <w:b/>
          <w:bCs/>
          <w:i/>
          <w:lang w:val="en-AU"/>
        </w:rPr>
        <w:t xml:space="preserve">hold, </w:t>
      </w:r>
      <w:r w:rsidR="00BE5E63" w:rsidRPr="00A764FF">
        <w:rPr>
          <w:b/>
          <w:bCs/>
          <w:i/>
          <w:lang w:val="en-AU"/>
        </w:rPr>
        <w:t xml:space="preserve">Group, or </w:t>
      </w:r>
      <w:r w:rsidR="00771A75" w:rsidRPr="00A764FF">
        <w:rPr>
          <w:b/>
          <w:bCs/>
          <w:i/>
          <w:lang w:val="en-AU"/>
        </w:rPr>
        <w:t>O</w:t>
      </w:r>
      <w:r w:rsidRPr="00A764FF">
        <w:rPr>
          <w:b/>
          <w:bCs/>
          <w:i/>
          <w:lang w:val="en-AU"/>
        </w:rPr>
        <w:t>rganisation (</w:t>
      </w:r>
      <w:r w:rsidR="002F67DD" w:rsidRPr="00A764FF">
        <w:rPr>
          <w:b/>
          <w:bCs/>
          <w:i/>
          <w:lang w:val="en-AU"/>
        </w:rPr>
        <w:t xml:space="preserve">as </w:t>
      </w:r>
      <w:r w:rsidR="008431F9" w:rsidRPr="00A764FF">
        <w:rPr>
          <w:b/>
          <w:bCs/>
          <w:i/>
          <w:lang w:val="en-AU"/>
        </w:rPr>
        <w:t>described</w:t>
      </w:r>
      <w:r w:rsidR="002F67DD" w:rsidRPr="00A764FF">
        <w:rPr>
          <w:b/>
          <w:bCs/>
          <w:i/>
          <w:lang w:val="en-AU"/>
        </w:rPr>
        <w:t xml:space="preserve"> </w:t>
      </w:r>
      <w:r w:rsidRPr="00A764FF">
        <w:rPr>
          <w:b/>
          <w:bCs/>
          <w:i/>
          <w:lang w:val="en-AU"/>
        </w:rPr>
        <w:t>i</w:t>
      </w:r>
      <w:r w:rsidR="002F67DD" w:rsidRPr="00A764FF">
        <w:rPr>
          <w:b/>
          <w:bCs/>
          <w:i/>
          <w:lang w:val="en-AU"/>
        </w:rPr>
        <w:t xml:space="preserve">n clause </w:t>
      </w:r>
      <w:r w:rsidRPr="00A764FF">
        <w:rPr>
          <w:b/>
          <w:bCs/>
          <w:i/>
          <w:lang w:val="en-AU"/>
        </w:rPr>
        <w:t>5.2) may vote if present at t</w:t>
      </w:r>
      <w:r w:rsidR="002E0358" w:rsidRPr="00A764FF">
        <w:rPr>
          <w:b/>
          <w:bCs/>
          <w:i/>
          <w:lang w:val="en-AU"/>
        </w:rPr>
        <w:t>he meeting</w:t>
      </w:r>
      <w:r w:rsidR="001C2529" w:rsidRPr="00A764FF">
        <w:rPr>
          <w:b/>
          <w:bCs/>
          <w:i/>
          <w:lang w:val="en-AU"/>
        </w:rPr>
        <w:t xml:space="preserve"> or by proxy</w:t>
      </w:r>
      <w:r w:rsidRPr="00A764FF">
        <w:rPr>
          <w:b/>
          <w:bCs/>
          <w:i/>
          <w:lang w:val="en-AU"/>
        </w:rPr>
        <w:t>.</w:t>
      </w:r>
    </w:p>
    <w:p w14:paraId="10C4AE37" w14:textId="77777777" w:rsidR="000E798B" w:rsidRPr="00A764FF" w:rsidRDefault="000E798B" w:rsidP="000E798B">
      <w:pPr>
        <w:ind w:left="720"/>
        <w:rPr>
          <w:b/>
          <w:bCs/>
          <w:i/>
          <w:lang w:val="en-AU"/>
        </w:rPr>
      </w:pPr>
      <w:r w:rsidRPr="00A764FF">
        <w:rPr>
          <w:b/>
          <w:bCs/>
          <w:i/>
          <w:lang w:val="en-AU"/>
        </w:rPr>
        <w:t>(d) Before a vote is taken, the Chairperson must state whether any proxy votes have been received.</w:t>
      </w:r>
    </w:p>
    <w:p w14:paraId="48D1A5AC" w14:textId="13F63759" w:rsidR="001C2529" w:rsidRPr="00A764FF" w:rsidRDefault="000E798B" w:rsidP="000E798B">
      <w:pPr>
        <w:ind w:left="720"/>
        <w:rPr>
          <w:b/>
          <w:bCs/>
          <w:i/>
          <w:lang w:val="en-AU"/>
        </w:rPr>
      </w:pPr>
      <w:r w:rsidRPr="00A764FF">
        <w:rPr>
          <w:b/>
          <w:bCs/>
          <w:i/>
          <w:lang w:val="en-AU"/>
        </w:rPr>
        <w:t xml:space="preserve">(e) </w:t>
      </w:r>
      <w:r w:rsidR="001C2529" w:rsidRPr="00A764FF">
        <w:rPr>
          <w:b/>
          <w:bCs/>
          <w:i/>
          <w:lang w:val="en-AU"/>
        </w:rPr>
        <w:t>No member may hold more than 5 proxies.</w:t>
      </w:r>
    </w:p>
    <w:p w14:paraId="645C28F4" w14:textId="1C9122A8" w:rsidR="000E798B" w:rsidRPr="00A764FF" w:rsidRDefault="001C2529" w:rsidP="000E798B">
      <w:pPr>
        <w:ind w:left="720"/>
        <w:rPr>
          <w:b/>
          <w:bCs/>
          <w:i/>
          <w:lang w:val="en-AU"/>
        </w:rPr>
      </w:pPr>
      <w:r w:rsidRPr="00A764FF">
        <w:rPr>
          <w:b/>
          <w:bCs/>
          <w:i/>
          <w:lang w:val="en-AU"/>
        </w:rPr>
        <w:t>(f)</w:t>
      </w:r>
      <w:r w:rsidR="00811AB2" w:rsidRPr="00A764FF">
        <w:rPr>
          <w:b/>
          <w:bCs/>
          <w:i/>
          <w:lang w:val="en-AU"/>
        </w:rPr>
        <w:t xml:space="preserve"> </w:t>
      </w:r>
      <w:r w:rsidR="000E798B" w:rsidRPr="00A764FF">
        <w:rPr>
          <w:b/>
          <w:bCs/>
          <w:i/>
          <w:lang w:val="en-AU"/>
        </w:rPr>
        <w:t>Decisions shall be by majority vote, and if votes are divided equally on any question, the Chairperson may exercise a second or casting vote.</w:t>
      </w:r>
    </w:p>
    <w:p w14:paraId="4C59A613" w14:textId="1A96514E" w:rsidR="004C6BB1" w:rsidRPr="00A764FF" w:rsidRDefault="004C6BB1" w:rsidP="004C6BB1">
      <w:pPr>
        <w:rPr>
          <w:b/>
          <w:bCs/>
          <w:i/>
          <w:lang w:val="en-AU"/>
        </w:rPr>
      </w:pPr>
    </w:p>
    <w:p w14:paraId="76986C87" w14:textId="6FB701BD" w:rsidR="004449D9" w:rsidRPr="00A764FF" w:rsidRDefault="004449D9" w:rsidP="004C6BB1">
      <w:pPr>
        <w:rPr>
          <w:b/>
          <w:bCs/>
          <w:lang w:val="en-AU"/>
        </w:rPr>
      </w:pPr>
      <w:r w:rsidRPr="00A764FF">
        <w:rPr>
          <w:b/>
          <w:bCs/>
          <w:lang w:val="en-AU"/>
        </w:rPr>
        <w:t>(c) Clause 5.8</w:t>
      </w:r>
      <w:r w:rsidR="004C6BB1" w:rsidRPr="00A764FF">
        <w:rPr>
          <w:b/>
          <w:bCs/>
          <w:lang w:val="en-AU"/>
        </w:rPr>
        <w:t xml:space="preserve"> Rights not Transferable </w:t>
      </w:r>
    </w:p>
    <w:p w14:paraId="1AD865BA" w14:textId="77777777" w:rsidR="004449D9" w:rsidRPr="00A764FF" w:rsidRDefault="004449D9" w:rsidP="004C6BB1">
      <w:pPr>
        <w:rPr>
          <w:b/>
          <w:bCs/>
          <w:lang w:val="en-AU"/>
        </w:rPr>
      </w:pPr>
    </w:p>
    <w:p w14:paraId="13B9D935" w14:textId="1A481768" w:rsidR="004C6BB1" w:rsidRPr="00A764FF" w:rsidRDefault="00A7385B" w:rsidP="004C6BB1">
      <w:pPr>
        <w:rPr>
          <w:bCs/>
          <w:lang w:val="en-AU"/>
        </w:rPr>
      </w:pPr>
      <w:r w:rsidRPr="00A764FF">
        <w:rPr>
          <w:bCs/>
          <w:lang w:val="en-AU"/>
        </w:rPr>
        <w:t xml:space="preserve">Clause 5.8 (a) </w:t>
      </w:r>
      <w:r w:rsidR="004C6BB1" w:rsidRPr="00A764FF">
        <w:rPr>
          <w:bCs/>
          <w:lang w:val="en-AU"/>
        </w:rPr>
        <w:t xml:space="preserve">should be </w:t>
      </w:r>
      <w:r w:rsidR="004C6BB1" w:rsidRPr="00311DB1">
        <w:rPr>
          <w:bCs/>
          <w:i/>
          <w:iCs/>
          <w:lang w:val="en-AU"/>
        </w:rPr>
        <w:t>amended</w:t>
      </w:r>
      <w:r w:rsidR="004C6BB1" w:rsidRPr="00A764FF">
        <w:rPr>
          <w:bCs/>
          <w:lang w:val="en-AU"/>
        </w:rPr>
        <w:t xml:space="preserve"> to allow for proxy voting at AGM and specia</w:t>
      </w:r>
      <w:r w:rsidRPr="00A764FF">
        <w:rPr>
          <w:bCs/>
          <w:lang w:val="en-AU"/>
        </w:rPr>
        <w:t xml:space="preserve">l </w:t>
      </w:r>
      <w:r w:rsidR="00CF20C9" w:rsidRPr="00A764FF">
        <w:rPr>
          <w:bCs/>
          <w:lang w:val="en-AU"/>
        </w:rPr>
        <w:t xml:space="preserve">general </w:t>
      </w:r>
      <w:r w:rsidRPr="00A764FF">
        <w:rPr>
          <w:bCs/>
          <w:lang w:val="en-AU"/>
        </w:rPr>
        <w:t>meetings</w:t>
      </w:r>
      <w:r w:rsidR="004C6BB1" w:rsidRPr="00A764FF">
        <w:rPr>
          <w:bCs/>
          <w:lang w:val="en-AU"/>
        </w:rPr>
        <w:t>:</w:t>
      </w:r>
    </w:p>
    <w:p w14:paraId="321F463A" w14:textId="1D217342" w:rsidR="00A7385B" w:rsidRPr="00A764FF" w:rsidRDefault="00A7385B" w:rsidP="004C6BB1">
      <w:pPr>
        <w:rPr>
          <w:bCs/>
          <w:lang w:val="en-AU"/>
        </w:rPr>
      </w:pPr>
    </w:p>
    <w:p w14:paraId="032DDF31" w14:textId="748EFFE4" w:rsidR="00A7385B" w:rsidRPr="00A764FF" w:rsidRDefault="00A7385B" w:rsidP="00333C7E">
      <w:pPr>
        <w:ind w:left="720"/>
        <w:rPr>
          <w:b/>
          <w:bCs/>
          <w:i/>
          <w:lang w:val="en-AU"/>
        </w:rPr>
      </w:pPr>
      <w:r w:rsidRPr="00A764FF">
        <w:rPr>
          <w:b/>
          <w:bCs/>
          <w:i/>
          <w:lang w:val="en-AU"/>
        </w:rPr>
        <w:t>(a) cannot be transferred or transmitted to another person except for the right to vote at meetings of Friends (Annual General and Special General Meetings</w:t>
      </w:r>
      <w:r w:rsidR="00381E98" w:rsidRPr="00A764FF">
        <w:rPr>
          <w:b/>
          <w:bCs/>
          <w:i/>
          <w:lang w:val="en-AU"/>
        </w:rPr>
        <w:t>)</w:t>
      </w:r>
      <w:r w:rsidR="001C2529" w:rsidRPr="00A764FF">
        <w:rPr>
          <w:b/>
          <w:bCs/>
          <w:i/>
          <w:lang w:val="en-AU"/>
        </w:rPr>
        <w:t xml:space="preserve"> in accordance with Clause 7.2.7</w:t>
      </w:r>
      <w:r w:rsidR="00333C7E" w:rsidRPr="00A764FF">
        <w:rPr>
          <w:b/>
          <w:bCs/>
          <w:i/>
          <w:lang w:val="en-AU"/>
        </w:rPr>
        <w:t>; and</w:t>
      </w:r>
    </w:p>
    <w:p w14:paraId="4B277013" w14:textId="77777777" w:rsidR="004C6BB1" w:rsidRPr="00A764FF" w:rsidRDefault="004C6BB1" w:rsidP="004C6BB1">
      <w:pPr>
        <w:rPr>
          <w:bCs/>
          <w:lang w:val="en-AU"/>
        </w:rPr>
      </w:pPr>
    </w:p>
    <w:p w14:paraId="1DF159FE" w14:textId="77777777" w:rsidR="007A7454" w:rsidRPr="00A764FF" w:rsidRDefault="007A7454" w:rsidP="00200D64">
      <w:pPr>
        <w:rPr>
          <w:b/>
          <w:bCs/>
          <w:lang w:val="en-AU"/>
        </w:rPr>
      </w:pPr>
      <w:bookmarkStart w:id="1" w:name="_Hlk84412023"/>
    </w:p>
    <w:p w14:paraId="339F8606" w14:textId="53EDBCAD" w:rsidR="004449D9" w:rsidRPr="00A764FF" w:rsidRDefault="004C6BB1" w:rsidP="00200D64">
      <w:pPr>
        <w:rPr>
          <w:lang w:val="en-AU"/>
        </w:rPr>
      </w:pPr>
      <w:r w:rsidRPr="00A764FF">
        <w:rPr>
          <w:b/>
          <w:bCs/>
          <w:lang w:val="en-AU"/>
        </w:rPr>
        <w:t>(d</w:t>
      </w:r>
      <w:r w:rsidR="009F5D9B" w:rsidRPr="00A764FF">
        <w:rPr>
          <w:b/>
          <w:bCs/>
          <w:lang w:val="en-AU"/>
        </w:rPr>
        <w:t xml:space="preserve">) </w:t>
      </w:r>
      <w:r w:rsidR="002F67DD" w:rsidRPr="00A764FF">
        <w:rPr>
          <w:b/>
          <w:bCs/>
          <w:lang w:val="en-AU"/>
        </w:rPr>
        <w:t>Clause 7.2.3 Notice of Meetings</w:t>
      </w:r>
    </w:p>
    <w:p w14:paraId="5ACA9962" w14:textId="77777777" w:rsidR="004449D9" w:rsidRPr="00A764FF" w:rsidRDefault="004449D9" w:rsidP="00200D64">
      <w:pPr>
        <w:rPr>
          <w:lang w:val="en-AU"/>
        </w:rPr>
      </w:pPr>
    </w:p>
    <w:p w14:paraId="5FEE9D36" w14:textId="32DBC25F" w:rsidR="00200D64" w:rsidRPr="00A764FF" w:rsidRDefault="00791CE9" w:rsidP="00200D64">
      <w:pPr>
        <w:rPr>
          <w:lang w:val="en-AU"/>
        </w:rPr>
      </w:pPr>
      <w:r w:rsidRPr="00A764FF">
        <w:rPr>
          <w:lang w:val="en-AU"/>
        </w:rPr>
        <w:t>I</w:t>
      </w:r>
      <w:r w:rsidR="00200D64" w:rsidRPr="00A764FF">
        <w:rPr>
          <w:lang w:val="en-AU"/>
        </w:rPr>
        <w:t>nformation provided to members prior to meetings</w:t>
      </w:r>
      <w:r w:rsidR="002F67DD" w:rsidRPr="00A764FF">
        <w:rPr>
          <w:lang w:val="en-AU"/>
        </w:rPr>
        <w:t xml:space="preserve"> also needs </w:t>
      </w:r>
      <w:r w:rsidR="00366D08" w:rsidRPr="00A764FF">
        <w:rPr>
          <w:lang w:val="en-AU"/>
        </w:rPr>
        <w:t>chang</w:t>
      </w:r>
      <w:r w:rsidR="007A7454" w:rsidRPr="00A764FF">
        <w:rPr>
          <w:lang w:val="en-AU"/>
        </w:rPr>
        <w:t>in</w:t>
      </w:r>
      <w:r w:rsidR="002F67DD" w:rsidRPr="00A764FF">
        <w:rPr>
          <w:lang w:val="en-AU"/>
        </w:rPr>
        <w:t>g to refer to proxy arrangements</w:t>
      </w:r>
      <w:r w:rsidR="009615A8" w:rsidRPr="00A764FF">
        <w:rPr>
          <w:lang w:val="en-AU"/>
        </w:rPr>
        <w:t xml:space="preserve"> at an AGM or special </w:t>
      </w:r>
      <w:r w:rsidR="001C2529" w:rsidRPr="00A764FF">
        <w:rPr>
          <w:lang w:val="en-AU"/>
        </w:rPr>
        <w:t xml:space="preserve">general </w:t>
      </w:r>
      <w:r w:rsidR="009615A8" w:rsidRPr="00A764FF">
        <w:rPr>
          <w:lang w:val="en-AU"/>
        </w:rPr>
        <w:t>meeting.  It should also refer to the use of technology if applicable</w:t>
      </w:r>
      <w:r w:rsidR="008C68DC" w:rsidRPr="00A764FF">
        <w:rPr>
          <w:lang w:val="en-AU"/>
        </w:rPr>
        <w:t>.</w:t>
      </w:r>
      <w:r w:rsidR="00200D64" w:rsidRPr="00A764FF">
        <w:rPr>
          <w:lang w:val="en-AU"/>
        </w:rPr>
        <w:t xml:space="preserve"> </w:t>
      </w:r>
      <w:bookmarkEnd w:id="1"/>
      <w:r w:rsidR="00200D64" w:rsidRPr="00A764FF">
        <w:rPr>
          <w:lang w:val="en-AU"/>
        </w:rPr>
        <w:t>Accordingly, it is recommended that Clause 7.2.3 b</w:t>
      </w:r>
      <w:r w:rsidR="001C2529" w:rsidRPr="00A764FF">
        <w:rPr>
          <w:lang w:val="en-AU"/>
        </w:rPr>
        <w:t xml:space="preserve">e </w:t>
      </w:r>
      <w:r w:rsidR="00200D64" w:rsidRPr="00311DB1">
        <w:rPr>
          <w:i/>
          <w:iCs/>
          <w:lang w:val="en-AU"/>
        </w:rPr>
        <w:t>expanded</w:t>
      </w:r>
      <w:r w:rsidR="00200D64" w:rsidRPr="00A764FF">
        <w:rPr>
          <w:lang w:val="en-AU"/>
        </w:rPr>
        <w:t xml:space="preserve"> as follows:</w:t>
      </w:r>
    </w:p>
    <w:p w14:paraId="60120744" w14:textId="77777777" w:rsidR="00200D64" w:rsidRPr="00A764FF" w:rsidRDefault="00200D64" w:rsidP="00200D64">
      <w:pPr>
        <w:rPr>
          <w:lang w:val="en-AU"/>
        </w:rPr>
      </w:pPr>
    </w:p>
    <w:p w14:paraId="592E4F0A" w14:textId="3E1EFF28" w:rsidR="00200D64" w:rsidRPr="00A764FF" w:rsidRDefault="00200D64" w:rsidP="004C21E2">
      <w:pPr>
        <w:keepNext/>
        <w:rPr>
          <w:b/>
          <w:bCs/>
          <w:lang w:val="en-AU"/>
        </w:rPr>
      </w:pPr>
      <w:r w:rsidRPr="00A764FF">
        <w:rPr>
          <w:b/>
          <w:bCs/>
          <w:lang w:val="en-AU"/>
        </w:rPr>
        <w:lastRenderedPageBreak/>
        <w:t xml:space="preserve">Clause </w:t>
      </w:r>
      <w:r w:rsidR="00135024" w:rsidRPr="00A764FF">
        <w:rPr>
          <w:b/>
          <w:bCs/>
          <w:lang w:val="en-AU"/>
        </w:rPr>
        <w:t>7.2.3 Notice</w:t>
      </w:r>
      <w:r w:rsidRPr="00A764FF">
        <w:rPr>
          <w:b/>
          <w:bCs/>
          <w:lang w:val="en-AU"/>
        </w:rPr>
        <w:t xml:space="preserve"> of Meetings</w:t>
      </w:r>
    </w:p>
    <w:p w14:paraId="609B1A8F" w14:textId="7BCF19E8" w:rsidR="00200D64" w:rsidRPr="00A764FF" w:rsidRDefault="00200D64" w:rsidP="004C21E2">
      <w:pPr>
        <w:keepNext/>
        <w:tabs>
          <w:tab w:val="left" w:pos="630"/>
        </w:tabs>
        <w:rPr>
          <w:b/>
          <w:bCs/>
          <w:i/>
          <w:iCs/>
          <w:lang w:val="en-AU"/>
        </w:rPr>
      </w:pPr>
      <w:r w:rsidRPr="00A764FF">
        <w:rPr>
          <w:b/>
          <w:bCs/>
          <w:i/>
          <w:iCs/>
          <w:lang w:val="en-AU"/>
        </w:rPr>
        <w:t xml:space="preserve">The Council shall give members at least twenty-one (21) </w:t>
      </w:r>
      <w:r w:rsidR="00311DB1" w:rsidRPr="00A764FF">
        <w:rPr>
          <w:b/>
          <w:bCs/>
          <w:i/>
          <w:iCs/>
          <w:lang w:val="en-AU"/>
        </w:rPr>
        <w:t>days’ notice</w:t>
      </w:r>
      <w:r w:rsidRPr="00A764FF">
        <w:rPr>
          <w:b/>
          <w:bCs/>
          <w:i/>
          <w:iCs/>
          <w:lang w:val="en-AU"/>
        </w:rPr>
        <w:t xml:space="preserve"> in writing of:</w:t>
      </w:r>
    </w:p>
    <w:p w14:paraId="3956B751" w14:textId="74B66490" w:rsidR="00200D64" w:rsidRPr="00A764FF" w:rsidRDefault="00200D64" w:rsidP="00200D64">
      <w:pPr>
        <w:tabs>
          <w:tab w:val="left" w:pos="630"/>
        </w:tabs>
        <w:ind w:left="720"/>
        <w:rPr>
          <w:b/>
          <w:bCs/>
          <w:i/>
          <w:iCs/>
          <w:lang w:val="en-AU"/>
        </w:rPr>
      </w:pPr>
      <w:r w:rsidRPr="00A764FF">
        <w:rPr>
          <w:b/>
          <w:bCs/>
          <w:i/>
          <w:iCs/>
          <w:lang w:val="en-AU"/>
        </w:rPr>
        <w:t>(a</w:t>
      </w:r>
      <w:r w:rsidR="00135024" w:rsidRPr="00A764FF">
        <w:rPr>
          <w:b/>
          <w:bCs/>
          <w:i/>
          <w:iCs/>
          <w:lang w:val="en-AU"/>
        </w:rPr>
        <w:t>) the</w:t>
      </w:r>
      <w:r w:rsidRPr="00A764FF">
        <w:rPr>
          <w:b/>
          <w:bCs/>
          <w:i/>
          <w:iCs/>
          <w:lang w:val="en-AU"/>
        </w:rPr>
        <w:t xml:space="preserve"> provisional agenda, place, day and time for an annual general or special general meeting;</w:t>
      </w:r>
    </w:p>
    <w:p w14:paraId="4EC37052" w14:textId="5AB6B94F" w:rsidR="00200D64" w:rsidRPr="00A764FF" w:rsidRDefault="00200D64" w:rsidP="00200D64">
      <w:pPr>
        <w:tabs>
          <w:tab w:val="left" w:pos="630"/>
        </w:tabs>
        <w:ind w:left="720"/>
        <w:rPr>
          <w:b/>
          <w:bCs/>
          <w:i/>
          <w:iCs/>
          <w:lang w:val="en-AU"/>
        </w:rPr>
      </w:pPr>
      <w:r w:rsidRPr="00A764FF">
        <w:rPr>
          <w:b/>
          <w:bCs/>
          <w:i/>
          <w:iCs/>
          <w:lang w:val="en-AU"/>
        </w:rPr>
        <w:t>(b) if the meeting is to be held in two or more places,</w:t>
      </w:r>
      <w:r w:rsidR="00CF20C9" w:rsidRPr="00A764FF">
        <w:rPr>
          <w:b/>
          <w:bCs/>
          <w:i/>
          <w:iCs/>
          <w:lang w:val="en-AU"/>
        </w:rPr>
        <w:t xml:space="preserve"> the</w:t>
      </w:r>
      <w:r w:rsidRPr="00A764FF">
        <w:rPr>
          <w:b/>
          <w:bCs/>
          <w:i/>
          <w:iCs/>
          <w:lang w:val="en-AU"/>
        </w:rPr>
        <w:t xml:space="preserve"> technology that will be used to facilitate this; </w:t>
      </w:r>
    </w:p>
    <w:p w14:paraId="3AB8E816" w14:textId="7DCDE507" w:rsidR="00200D64" w:rsidRPr="00A764FF" w:rsidRDefault="00200D64" w:rsidP="00200D64">
      <w:pPr>
        <w:tabs>
          <w:tab w:val="left" w:pos="630"/>
        </w:tabs>
        <w:ind w:left="720"/>
        <w:rPr>
          <w:b/>
          <w:bCs/>
          <w:i/>
          <w:iCs/>
          <w:lang w:val="en-AU"/>
        </w:rPr>
      </w:pPr>
      <w:r w:rsidRPr="00A764FF">
        <w:rPr>
          <w:b/>
          <w:bCs/>
          <w:i/>
          <w:iCs/>
          <w:lang w:val="en-AU"/>
        </w:rPr>
        <w:t>(c) if applicable, any special resolution to be proposed and the words of that resolution; and</w:t>
      </w:r>
    </w:p>
    <w:p w14:paraId="207F7628" w14:textId="586E95D3" w:rsidR="008E75EF" w:rsidRPr="00A764FF" w:rsidRDefault="00200D64" w:rsidP="00200D64">
      <w:pPr>
        <w:ind w:left="720"/>
        <w:rPr>
          <w:b/>
          <w:bCs/>
          <w:lang w:val="en-AU"/>
        </w:rPr>
      </w:pPr>
      <w:r w:rsidRPr="00A764FF">
        <w:rPr>
          <w:b/>
          <w:bCs/>
          <w:i/>
          <w:iCs/>
          <w:lang w:val="en-AU"/>
        </w:rPr>
        <w:t>(d) the form approved for the appointment of a proxy</w:t>
      </w:r>
      <w:r w:rsidR="008262E3" w:rsidRPr="00A764FF">
        <w:rPr>
          <w:b/>
          <w:bCs/>
          <w:i/>
          <w:iCs/>
          <w:lang w:val="en-AU"/>
        </w:rPr>
        <w:t>.</w:t>
      </w:r>
    </w:p>
    <w:p w14:paraId="21F4CE36" w14:textId="77777777" w:rsidR="00801714" w:rsidRPr="00A764FF" w:rsidRDefault="00801714">
      <w:pPr>
        <w:rPr>
          <w:b/>
          <w:bCs/>
          <w:lang w:val="en-AU"/>
        </w:rPr>
      </w:pPr>
    </w:p>
    <w:p w14:paraId="23761189" w14:textId="69FD448F" w:rsidR="00C06DB2" w:rsidRPr="00A764FF" w:rsidRDefault="00C06DB2">
      <w:pPr>
        <w:rPr>
          <w:lang w:val="en-AU"/>
        </w:rPr>
      </w:pPr>
    </w:p>
    <w:p w14:paraId="1EFBF877" w14:textId="36316EC0" w:rsidR="00395F15" w:rsidRPr="00A764FF" w:rsidRDefault="00395F15" w:rsidP="00395F15">
      <w:pPr>
        <w:rPr>
          <w:lang w:val="en-AU"/>
        </w:rPr>
      </w:pPr>
    </w:p>
    <w:sectPr w:rsidR="00395F15" w:rsidRPr="00A764FF" w:rsidSect="00A90C5A">
      <w:headerReference w:type="even" r:id="rId10"/>
      <w:headerReference w:type="default" r:id="rId11"/>
      <w:footerReference w:type="even" r:id="rId12"/>
      <w:footerReference w:type="default" r:id="rId13"/>
      <w:headerReference w:type="first" r:id="rId14"/>
      <w:footerReference w:type="first" r:id="rId15"/>
      <w:pgSz w:w="11906" w:h="16838"/>
      <w:pgMar w:top="1077" w:right="1080" w:bottom="107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5819" w14:textId="77777777" w:rsidR="007575B9" w:rsidRDefault="007575B9" w:rsidP="00440DD9">
      <w:r>
        <w:separator/>
      </w:r>
    </w:p>
  </w:endnote>
  <w:endnote w:type="continuationSeparator" w:id="0">
    <w:p w14:paraId="2C430C49" w14:textId="77777777" w:rsidR="007575B9" w:rsidRDefault="007575B9" w:rsidP="00440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C58BC" w14:textId="77777777" w:rsidR="00451F1A" w:rsidRDefault="00451F1A" w:rsidP="00BE5E6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C9586AC" w14:textId="77777777" w:rsidR="00451F1A" w:rsidRDefault="00451F1A" w:rsidP="00BE5E6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70746" w14:textId="77777777" w:rsidR="00451F1A" w:rsidRDefault="00451F1A" w:rsidP="00BE5E6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ED6EF1">
      <w:rPr>
        <w:rStyle w:val="PageNumber"/>
        <w:noProof/>
      </w:rPr>
      <w:t>3</w:t>
    </w:r>
    <w:r>
      <w:rPr>
        <w:rStyle w:val="PageNumber"/>
      </w:rPr>
      <w:fldChar w:fldCharType="end"/>
    </w:r>
  </w:p>
  <w:p w14:paraId="5A49D1EB" w14:textId="77777777" w:rsidR="00451F1A" w:rsidRDefault="00451F1A" w:rsidP="00BE5E63">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399B" w14:textId="77777777" w:rsidR="00955FFE" w:rsidRDefault="00955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88A7" w14:textId="77777777" w:rsidR="007575B9" w:rsidRDefault="007575B9" w:rsidP="00440DD9">
      <w:r>
        <w:separator/>
      </w:r>
    </w:p>
  </w:footnote>
  <w:footnote w:type="continuationSeparator" w:id="0">
    <w:p w14:paraId="01ACDC7A" w14:textId="77777777" w:rsidR="007575B9" w:rsidRDefault="007575B9" w:rsidP="00440D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EEECE" w14:textId="77777777" w:rsidR="00955FFE" w:rsidRDefault="007575B9">
    <w:pPr>
      <w:pStyle w:val="Header"/>
    </w:pPr>
    <w:sdt>
      <w:sdtPr>
        <w:id w:val="171999623"/>
        <w:placeholder>
          <w:docPart w:val="026B98A945A79D46A9065F12561A4AB1"/>
        </w:placeholder>
        <w:temporary/>
        <w:showingPlcHdr/>
      </w:sdtPr>
      <w:sdtEndPr/>
      <w:sdtContent>
        <w:r w:rsidR="00955FFE">
          <w:t>[Type text]</w:t>
        </w:r>
      </w:sdtContent>
    </w:sdt>
    <w:r w:rsidR="00955FFE">
      <w:ptab w:relativeTo="margin" w:alignment="center" w:leader="none"/>
    </w:r>
    <w:sdt>
      <w:sdtPr>
        <w:id w:val="171999624"/>
        <w:placeholder>
          <w:docPart w:val="8B03EBD1A3AD9D438ACC126A8E4E8351"/>
        </w:placeholder>
        <w:temporary/>
        <w:showingPlcHdr/>
      </w:sdtPr>
      <w:sdtEndPr/>
      <w:sdtContent>
        <w:r w:rsidR="00955FFE">
          <w:t>[Type text]</w:t>
        </w:r>
      </w:sdtContent>
    </w:sdt>
    <w:r w:rsidR="00955FFE">
      <w:ptab w:relativeTo="margin" w:alignment="right" w:leader="none"/>
    </w:r>
    <w:sdt>
      <w:sdtPr>
        <w:id w:val="171999625"/>
        <w:placeholder>
          <w:docPart w:val="482705A750EC0A4E8AC9F6F1ACD601A7"/>
        </w:placeholder>
        <w:temporary/>
        <w:showingPlcHdr/>
      </w:sdtPr>
      <w:sdtEndPr/>
      <w:sdtContent>
        <w:r w:rsidR="00955FFE">
          <w:t>[Type text]</w:t>
        </w:r>
      </w:sdtContent>
    </w:sdt>
  </w:p>
  <w:p w14:paraId="2F3A1AF7" w14:textId="0B53A80F" w:rsidR="00451F1A" w:rsidRDefault="00451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335E" w14:textId="3A773C5E" w:rsidR="00451F1A" w:rsidRDefault="00451F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2859" w14:textId="23630CFC" w:rsidR="00451F1A" w:rsidRDefault="00451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5983"/>
    <w:multiLevelType w:val="hybridMultilevel"/>
    <w:tmpl w:val="97CA9BD0"/>
    <w:lvl w:ilvl="0" w:tplc="002870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9124F"/>
    <w:multiLevelType w:val="hybridMultilevel"/>
    <w:tmpl w:val="523C40FA"/>
    <w:lvl w:ilvl="0" w:tplc="DE5AA9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E47AF8"/>
    <w:multiLevelType w:val="multilevel"/>
    <w:tmpl w:val="B2364B9E"/>
    <w:lvl w:ilvl="0">
      <w:start w:val="1"/>
      <w:numFmt w:val="lowerLetter"/>
      <w:lvlText w:val="(%1)"/>
      <w:lvlJc w:val="left"/>
      <w:pPr>
        <w:ind w:left="360" w:hanging="360"/>
      </w:pPr>
      <w:rPr>
        <w:rFonts w:ascii="Calibri" w:eastAsia="Calibri" w:hAnsi="Calibri" w:cs="Calibri"/>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A2B14E8"/>
    <w:multiLevelType w:val="hybridMultilevel"/>
    <w:tmpl w:val="6860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65B62"/>
    <w:multiLevelType w:val="hybridMultilevel"/>
    <w:tmpl w:val="3B1C2402"/>
    <w:lvl w:ilvl="0" w:tplc="13005B12">
      <w:start w:val="1"/>
      <w:numFmt w:val="low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CE429E"/>
    <w:multiLevelType w:val="hybridMultilevel"/>
    <w:tmpl w:val="5E741474"/>
    <w:lvl w:ilvl="0" w:tplc="C95EB3FC">
      <w:start w:val="1"/>
      <w:numFmt w:val="lowerLetter"/>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3D05B4"/>
    <w:multiLevelType w:val="hybridMultilevel"/>
    <w:tmpl w:val="1A0C9300"/>
    <w:lvl w:ilvl="0" w:tplc="DE5AA988">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D26805"/>
    <w:multiLevelType w:val="multilevel"/>
    <w:tmpl w:val="1A0C9300"/>
    <w:lvl w:ilvl="0">
      <w:start w:val="1"/>
      <w:numFmt w:val="lowerLetter"/>
      <w:lvlText w:val="(%1)"/>
      <w:lvlJc w:val="left"/>
      <w:pPr>
        <w:ind w:left="108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3E9040D"/>
    <w:multiLevelType w:val="hybridMultilevel"/>
    <w:tmpl w:val="E44A8484"/>
    <w:lvl w:ilvl="0" w:tplc="76421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6"/>
  </w:num>
  <w:num w:numId="5">
    <w:abstractNumId w:val="7"/>
  </w:num>
  <w:num w:numId="6">
    <w:abstractNumId w:val="5"/>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92F"/>
    <w:rsid w:val="00004DBB"/>
    <w:rsid w:val="00005850"/>
    <w:rsid w:val="00012B59"/>
    <w:rsid w:val="00064987"/>
    <w:rsid w:val="0007386C"/>
    <w:rsid w:val="0007653B"/>
    <w:rsid w:val="0008233F"/>
    <w:rsid w:val="00083853"/>
    <w:rsid w:val="00092D33"/>
    <w:rsid w:val="000B742F"/>
    <w:rsid w:val="000B7655"/>
    <w:rsid w:val="000C6B80"/>
    <w:rsid w:val="000D2B49"/>
    <w:rsid w:val="000D2C88"/>
    <w:rsid w:val="000E141D"/>
    <w:rsid w:val="000E798B"/>
    <w:rsid w:val="000F3C4D"/>
    <w:rsid w:val="0010275F"/>
    <w:rsid w:val="00106C1F"/>
    <w:rsid w:val="00113CBA"/>
    <w:rsid w:val="00117DB3"/>
    <w:rsid w:val="001206D4"/>
    <w:rsid w:val="00124613"/>
    <w:rsid w:val="00135024"/>
    <w:rsid w:val="00135C3F"/>
    <w:rsid w:val="00142ADA"/>
    <w:rsid w:val="00145017"/>
    <w:rsid w:val="0015023F"/>
    <w:rsid w:val="00167D28"/>
    <w:rsid w:val="00180AF4"/>
    <w:rsid w:val="001825B4"/>
    <w:rsid w:val="00182B24"/>
    <w:rsid w:val="00193A69"/>
    <w:rsid w:val="00194E38"/>
    <w:rsid w:val="001A34CF"/>
    <w:rsid w:val="001B7782"/>
    <w:rsid w:val="001C2529"/>
    <w:rsid w:val="001C2D30"/>
    <w:rsid w:val="001F436D"/>
    <w:rsid w:val="00200D64"/>
    <w:rsid w:val="0020110B"/>
    <w:rsid w:val="00201AA9"/>
    <w:rsid w:val="0021166F"/>
    <w:rsid w:val="0021774D"/>
    <w:rsid w:val="00227CFE"/>
    <w:rsid w:val="00231C9D"/>
    <w:rsid w:val="0023265D"/>
    <w:rsid w:val="00233CDB"/>
    <w:rsid w:val="0024227B"/>
    <w:rsid w:val="002432DE"/>
    <w:rsid w:val="002739D0"/>
    <w:rsid w:val="002A6CD3"/>
    <w:rsid w:val="002B0B3B"/>
    <w:rsid w:val="002B5D67"/>
    <w:rsid w:val="002C6F06"/>
    <w:rsid w:val="002D3284"/>
    <w:rsid w:val="002D5E07"/>
    <w:rsid w:val="002D752E"/>
    <w:rsid w:val="002E0358"/>
    <w:rsid w:val="002E1580"/>
    <w:rsid w:val="002E431A"/>
    <w:rsid w:val="002F5FE8"/>
    <w:rsid w:val="002F67DD"/>
    <w:rsid w:val="00302874"/>
    <w:rsid w:val="00311DB1"/>
    <w:rsid w:val="00333C7E"/>
    <w:rsid w:val="0034648D"/>
    <w:rsid w:val="00351DDA"/>
    <w:rsid w:val="00357EB9"/>
    <w:rsid w:val="00364BBA"/>
    <w:rsid w:val="00366D08"/>
    <w:rsid w:val="0036733B"/>
    <w:rsid w:val="00381E98"/>
    <w:rsid w:val="00385F27"/>
    <w:rsid w:val="00395F15"/>
    <w:rsid w:val="003A11AE"/>
    <w:rsid w:val="003A1390"/>
    <w:rsid w:val="003A5688"/>
    <w:rsid w:val="003A5B0A"/>
    <w:rsid w:val="003B477F"/>
    <w:rsid w:val="003C3FC4"/>
    <w:rsid w:val="003F0587"/>
    <w:rsid w:val="003F4090"/>
    <w:rsid w:val="003F46FD"/>
    <w:rsid w:val="0041218F"/>
    <w:rsid w:val="004268F8"/>
    <w:rsid w:val="00434215"/>
    <w:rsid w:val="00437B51"/>
    <w:rsid w:val="00440DD9"/>
    <w:rsid w:val="004449D9"/>
    <w:rsid w:val="00451F1A"/>
    <w:rsid w:val="00454D84"/>
    <w:rsid w:val="004554E3"/>
    <w:rsid w:val="0046121D"/>
    <w:rsid w:val="004829BB"/>
    <w:rsid w:val="00484B58"/>
    <w:rsid w:val="00485E1F"/>
    <w:rsid w:val="004910D0"/>
    <w:rsid w:val="00492AB1"/>
    <w:rsid w:val="004A42C5"/>
    <w:rsid w:val="004C21E2"/>
    <w:rsid w:val="004C6BB1"/>
    <w:rsid w:val="004D4BDF"/>
    <w:rsid w:val="004D5F81"/>
    <w:rsid w:val="004D6875"/>
    <w:rsid w:val="004E09D5"/>
    <w:rsid w:val="004F0E78"/>
    <w:rsid w:val="004F4CC8"/>
    <w:rsid w:val="00501C96"/>
    <w:rsid w:val="005325C5"/>
    <w:rsid w:val="00555A64"/>
    <w:rsid w:val="005607B2"/>
    <w:rsid w:val="005611DA"/>
    <w:rsid w:val="0056617C"/>
    <w:rsid w:val="00573506"/>
    <w:rsid w:val="00574E9A"/>
    <w:rsid w:val="0057779B"/>
    <w:rsid w:val="00594477"/>
    <w:rsid w:val="005A4294"/>
    <w:rsid w:val="005B3FE8"/>
    <w:rsid w:val="005B4BDC"/>
    <w:rsid w:val="005C40C7"/>
    <w:rsid w:val="005D70F1"/>
    <w:rsid w:val="005E4AB3"/>
    <w:rsid w:val="005F2329"/>
    <w:rsid w:val="005F36E1"/>
    <w:rsid w:val="005F7933"/>
    <w:rsid w:val="00611E06"/>
    <w:rsid w:val="00625D7D"/>
    <w:rsid w:val="00630C7B"/>
    <w:rsid w:val="006320E5"/>
    <w:rsid w:val="00643A2C"/>
    <w:rsid w:val="0064636F"/>
    <w:rsid w:val="00651D38"/>
    <w:rsid w:val="0067657E"/>
    <w:rsid w:val="00682180"/>
    <w:rsid w:val="00686889"/>
    <w:rsid w:val="00690F31"/>
    <w:rsid w:val="006E1A96"/>
    <w:rsid w:val="006E5267"/>
    <w:rsid w:val="006F0E4B"/>
    <w:rsid w:val="007117E3"/>
    <w:rsid w:val="00716599"/>
    <w:rsid w:val="0071765C"/>
    <w:rsid w:val="007367CA"/>
    <w:rsid w:val="007575B9"/>
    <w:rsid w:val="00765AFC"/>
    <w:rsid w:val="00766E69"/>
    <w:rsid w:val="00771A75"/>
    <w:rsid w:val="0077742A"/>
    <w:rsid w:val="007914F4"/>
    <w:rsid w:val="00791CE9"/>
    <w:rsid w:val="00794501"/>
    <w:rsid w:val="00795D22"/>
    <w:rsid w:val="007A7454"/>
    <w:rsid w:val="007B71F9"/>
    <w:rsid w:val="007E03DE"/>
    <w:rsid w:val="007F5835"/>
    <w:rsid w:val="00801513"/>
    <w:rsid w:val="00801714"/>
    <w:rsid w:val="00805E90"/>
    <w:rsid w:val="00811AB2"/>
    <w:rsid w:val="0082021B"/>
    <w:rsid w:val="008262E3"/>
    <w:rsid w:val="00830459"/>
    <w:rsid w:val="008431F9"/>
    <w:rsid w:val="00847834"/>
    <w:rsid w:val="00894AA0"/>
    <w:rsid w:val="00895F99"/>
    <w:rsid w:val="008A168D"/>
    <w:rsid w:val="008C3FDF"/>
    <w:rsid w:val="008C68DC"/>
    <w:rsid w:val="008D6C5C"/>
    <w:rsid w:val="008E75EF"/>
    <w:rsid w:val="008F6F7E"/>
    <w:rsid w:val="009079EA"/>
    <w:rsid w:val="00916D49"/>
    <w:rsid w:val="0093387E"/>
    <w:rsid w:val="00937F6A"/>
    <w:rsid w:val="009402AD"/>
    <w:rsid w:val="00946BBF"/>
    <w:rsid w:val="009529EB"/>
    <w:rsid w:val="00955FFE"/>
    <w:rsid w:val="009615A8"/>
    <w:rsid w:val="009741A2"/>
    <w:rsid w:val="009904A2"/>
    <w:rsid w:val="00993641"/>
    <w:rsid w:val="00996767"/>
    <w:rsid w:val="009C08C7"/>
    <w:rsid w:val="009C4A06"/>
    <w:rsid w:val="009E6A3F"/>
    <w:rsid w:val="009F5D9B"/>
    <w:rsid w:val="00A06FFC"/>
    <w:rsid w:val="00A1100A"/>
    <w:rsid w:val="00A17257"/>
    <w:rsid w:val="00A459AC"/>
    <w:rsid w:val="00A51D68"/>
    <w:rsid w:val="00A530AD"/>
    <w:rsid w:val="00A56C7D"/>
    <w:rsid w:val="00A7268A"/>
    <w:rsid w:val="00A7385B"/>
    <w:rsid w:val="00A764FF"/>
    <w:rsid w:val="00A80C44"/>
    <w:rsid w:val="00A81630"/>
    <w:rsid w:val="00A84752"/>
    <w:rsid w:val="00A86E82"/>
    <w:rsid w:val="00A908DF"/>
    <w:rsid w:val="00A90C5A"/>
    <w:rsid w:val="00A91E3F"/>
    <w:rsid w:val="00A93BE0"/>
    <w:rsid w:val="00AC330B"/>
    <w:rsid w:val="00AD2C4D"/>
    <w:rsid w:val="00AD5173"/>
    <w:rsid w:val="00AE2E14"/>
    <w:rsid w:val="00AE73AC"/>
    <w:rsid w:val="00AE788F"/>
    <w:rsid w:val="00AF6DC0"/>
    <w:rsid w:val="00B0025F"/>
    <w:rsid w:val="00B05FA7"/>
    <w:rsid w:val="00B136F9"/>
    <w:rsid w:val="00B34D84"/>
    <w:rsid w:val="00B52AD1"/>
    <w:rsid w:val="00B6003E"/>
    <w:rsid w:val="00B62AF4"/>
    <w:rsid w:val="00B8236B"/>
    <w:rsid w:val="00B86E24"/>
    <w:rsid w:val="00BD51ED"/>
    <w:rsid w:val="00BE0E68"/>
    <w:rsid w:val="00BE5E63"/>
    <w:rsid w:val="00BE75E1"/>
    <w:rsid w:val="00BE7605"/>
    <w:rsid w:val="00BE7F6F"/>
    <w:rsid w:val="00BF7FA9"/>
    <w:rsid w:val="00C06DB2"/>
    <w:rsid w:val="00C338C3"/>
    <w:rsid w:val="00C51722"/>
    <w:rsid w:val="00C75C9A"/>
    <w:rsid w:val="00C81DC6"/>
    <w:rsid w:val="00C90061"/>
    <w:rsid w:val="00CA1704"/>
    <w:rsid w:val="00CC56B4"/>
    <w:rsid w:val="00CD5F5A"/>
    <w:rsid w:val="00CD7E44"/>
    <w:rsid w:val="00CF0764"/>
    <w:rsid w:val="00CF20C9"/>
    <w:rsid w:val="00D01847"/>
    <w:rsid w:val="00D26498"/>
    <w:rsid w:val="00D372C0"/>
    <w:rsid w:val="00D430E5"/>
    <w:rsid w:val="00D4519C"/>
    <w:rsid w:val="00D800B1"/>
    <w:rsid w:val="00DA27B4"/>
    <w:rsid w:val="00DB7878"/>
    <w:rsid w:val="00DC32A0"/>
    <w:rsid w:val="00DD2DD1"/>
    <w:rsid w:val="00DE212C"/>
    <w:rsid w:val="00DF0C73"/>
    <w:rsid w:val="00DF6DAC"/>
    <w:rsid w:val="00E11D77"/>
    <w:rsid w:val="00E14DC3"/>
    <w:rsid w:val="00E16B6C"/>
    <w:rsid w:val="00E22A28"/>
    <w:rsid w:val="00E23FAD"/>
    <w:rsid w:val="00E26029"/>
    <w:rsid w:val="00E306AE"/>
    <w:rsid w:val="00E317D0"/>
    <w:rsid w:val="00E34613"/>
    <w:rsid w:val="00E44C8D"/>
    <w:rsid w:val="00E453C1"/>
    <w:rsid w:val="00E60135"/>
    <w:rsid w:val="00E61C92"/>
    <w:rsid w:val="00E70C05"/>
    <w:rsid w:val="00E71FC7"/>
    <w:rsid w:val="00E83487"/>
    <w:rsid w:val="00E9092E"/>
    <w:rsid w:val="00E91347"/>
    <w:rsid w:val="00EA3378"/>
    <w:rsid w:val="00ED6EF1"/>
    <w:rsid w:val="00EE092F"/>
    <w:rsid w:val="00EE18EE"/>
    <w:rsid w:val="00F00961"/>
    <w:rsid w:val="00F0551B"/>
    <w:rsid w:val="00F17829"/>
    <w:rsid w:val="00F27313"/>
    <w:rsid w:val="00F310F4"/>
    <w:rsid w:val="00F65192"/>
    <w:rsid w:val="00F73713"/>
    <w:rsid w:val="00F76DDB"/>
    <w:rsid w:val="00F93E87"/>
    <w:rsid w:val="00FA6E62"/>
    <w:rsid w:val="00FB20F7"/>
    <w:rsid w:val="00FB27F9"/>
    <w:rsid w:val="00FD22D3"/>
    <w:rsid w:val="00FD7020"/>
    <w:rsid w:val="00FD7B8C"/>
    <w:rsid w:val="00FE26D4"/>
    <w:rsid w:val="00FE5C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1730316"/>
  <w15:docId w15:val="{3F74FA33-3CE8-4D8C-AFBA-5FD41EE2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92F"/>
    <w:pPr>
      <w:spacing w:after="0" w:line="240" w:lineRule="auto"/>
    </w:pPr>
    <w:rPr>
      <w:rFonts w:ascii="Cambria" w:eastAsia="Cambria" w:hAnsi="Cambria" w:cs="Cambria"/>
      <w:sz w:val="24"/>
      <w:szCs w:val="24"/>
      <w:lang w:val="en-US" w:eastAsia="en-GB"/>
    </w:rPr>
  </w:style>
  <w:style w:type="paragraph" w:styleId="Heading1">
    <w:name w:val="heading 1"/>
    <w:basedOn w:val="Normal"/>
    <w:next w:val="Normal"/>
    <w:link w:val="Heading1Char"/>
    <w:uiPriority w:val="9"/>
    <w:qFormat/>
    <w:rsid w:val="00A06FFC"/>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85F27"/>
    <w:pPr>
      <w:suppressAutoHyphens/>
      <w:spacing w:after="200" w:line="276" w:lineRule="auto"/>
      <w:ind w:left="720"/>
      <w:contextualSpacing/>
    </w:pPr>
    <w:rPr>
      <w:rFonts w:ascii="Calibri" w:eastAsia="Calibri" w:hAnsi="Calibri" w:cs="Arial"/>
      <w:sz w:val="22"/>
      <w:szCs w:val="22"/>
      <w:lang w:val="en-AU" w:eastAsia="zh-CN"/>
    </w:rPr>
  </w:style>
  <w:style w:type="character" w:styleId="CommentReference">
    <w:name w:val="annotation reference"/>
    <w:basedOn w:val="DefaultParagraphFont"/>
    <w:uiPriority w:val="99"/>
    <w:semiHidden/>
    <w:unhideWhenUsed/>
    <w:rsid w:val="00555A64"/>
    <w:rPr>
      <w:sz w:val="16"/>
      <w:szCs w:val="16"/>
    </w:rPr>
  </w:style>
  <w:style w:type="paragraph" w:styleId="CommentText">
    <w:name w:val="annotation text"/>
    <w:basedOn w:val="Normal"/>
    <w:link w:val="CommentTextChar"/>
    <w:uiPriority w:val="99"/>
    <w:semiHidden/>
    <w:unhideWhenUsed/>
    <w:rsid w:val="00555A64"/>
    <w:rPr>
      <w:sz w:val="20"/>
      <w:szCs w:val="20"/>
    </w:rPr>
  </w:style>
  <w:style w:type="character" w:customStyle="1" w:styleId="CommentTextChar">
    <w:name w:val="Comment Text Char"/>
    <w:basedOn w:val="DefaultParagraphFont"/>
    <w:link w:val="CommentText"/>
    <w:uiPriority w:val="99"/>
    <w:semiHidden/>
    <w:rsid w:val="00555A64"/>
    <w:rPr>
      <w:rFonts w:ascii="Cambria" w:eastAsia="Cambria" w:hAnsi="Cambria" w:cs="Cambria"/>
      <w:sz w:val="20"/>
      <w:szCs w:val="20"/>
      <w:lang w:val="en-US" w:eastAsia="en-GB"/>
    </w:rPr>
  </w:style>
  <w:style w:type="paragraph" w:styleId="CommentSubject">
    <w:name w:val="annotation subject"/>
    <w:basedOn w:val="CommentText"/>
    <w:next w:val="CommentText"/>
    <w:link w:val="CommentSubjectChar"/>
    <w:uiPriority w:val="99"/>
    <w:semiHidden/>
    <w:unhideWhenUsed/>
    <w:rsid w:val="00555A64"/>
    <w:rPr>
      <w:b/>
      <w:bCs/>
    </w:rPr>
  </w:style>
  <w:style w:type="character" w:customStyle="1" w:styleId="CommentSubjectChar">
    <w:name w:val="Comment Subject Char"/>
    <w:basedOn w:val="CommentTextChar"/>
    <w:link w:val="CommentSubject"/>
    <w:uiPriority w:val="99"/>
    <w:semiHidden/>
    <w:rsid w:val="00555A64"/>
    <w:rPr>
      <w:rFonts w:ascii="Cambria" w:eastAsia="Cambria" w:hAnsi="Cambria" w:cs="Cambria"/>
      <w:b/>
      <w:bCs/>
      <w:sz w:val="20"/>
      <w:szCs w:val="20"/>
      <w:lang w:val="en-US" w:eastAsia="en-GB"/>
    </w:rPr>
  </w:style>
  <w:style w:type="paragraph" w:styleId="Header">
    <w:name w:val="header"/>
    <w:basedOn w:val="Normal"/>
    <w:link w:val="HeaderChar"/>
    <w:uiPriority w:val="99"/>
    <w:unhideWhenUsed/>
    <w:rsid w:val="00440DD9"/>
    <w:pPr>
      <w:tabs>
        <w:tab w:val="center" w:pos="4513"/>
        <w:tab w:val="right" w:pos="9026"/>
      </w:tabs>
    </w:pPr>
  </w:style>
  <w:style w:type="character" w:customStyle="1" w:styleId="HeaderChar">
    <w:name w:val="Header Char"/>
    <w:basedOn w:val="DefaultParagraphFont"/>
    <w:link w:val="Header"/>
    <w:uiPriority w:val="99"/>
    <w:rsid w:val="00440DD9"/>
    <w:rPr>
      <w:rFonts w:ascii="Cambria" w:eastAsia="Cambria" w:hAnsi="Cambria" w:cs="Cambria"/>
      <w:sz w:val="24"/>
      <w:szCs w:val="24"/>
      <w:lang w:val="en-US" w:eastAsia="en-GB"/>
    </w:rPr>
  </w:style>
  <w:style w:type="paragraph" w:styleId="Footer">
    <w:name w:val="footer"/>
    <w:basedOn w:val="Normal"/>
    <w:link w:val="FooterChar"/>
    <w:uiPriority w:val="99"/>
    <w:unhideWhenUsed/>
    <w:rsid w:val="00440DD9"/>
    <w:pPr>
      <w:tabs>
        <w:tab w:val="center" w:pos="4513"/>
        <w:tab w:val="right" w:pos="9026"/>
      </w:tabs>
    </w:pPr>
  </w:style>
  <w:style w:type="character" w:customStyle="1" w:styleId="FooterChar">
    <w:name w:val="Footer Char"/>
    <w:basedOn w:val="DefaultParagraphFont"/>
    <w:link w:val="Footer"/>
    <w:uiPriority w:val="99"/>
    <w:rsid w:val="00440DD9"/>
    <w:rPr>
      <w:rFonts w:ascii="Cambria" w:eastAsia="Cambria" w:hAnsi="Cambria" w:cs="Cambria"/>
      <w:sz w:val="24"/>
      <w:szCs w:val="24"/>
      <w:lang w:val="en-US" w:eastAsia="en-GB"/>
    </w:rPr>
  </w:style>
  <w:style w:type="character" w:customStyle="1" w:styleId="Heading1Char">
    <w:name w:val="Heading 1 Char"/>
    <w:basedOn w:val="DefaultParagraphFont"/>
    <w:link w:val="Heading1"/>
    <w:uiPriority w:val="9"/>
    <w:rsid w:val="00A06FFC"/>
    <w:rPr>
      <w:rFonts w:asciiTheme="majorHAnsi" w:eastAsiaTheme="majorEastAsia" w:hAnsiTheme="majorHAnsi" w:cstheme="majorBidi"/>
      <w:b/>
      <w:bCs/>
      <w:color w:val="2D4F8E" w:themeColor="accent1" w:themeShade="B5"/>
      <w:sz w:val="32"/>
      <w:szCs w:val="32"/>
      <w:lang w:val="en-US" w:eastAsia="en-GB"/>
    </w:rPr>
  </w:style>
  <w:style w:type="paragraph" w:styleId="TOCHeading">
    <w:name w:val="TOC Heading"/>
    <w:basedOn w:val="Heading1"/>
    <w:next w:val="Normal"/>
    <w:uiPriority w:val="39"/>
    <w:unhideWhenUsed/>
    <w:qFormat/>
    <w:rsid w:val="00A06FFC"/>
    <w:pPr>
      <w:spacing w:line="276" w:lineRule="auto"/>
      <w:outlineLvl w:val="9"/>
    </w:pPr>
    <w:rPr>
      <w:color w:val="2F5496" w:themeColor="accent1" w:themeShade="BF"/>
      <w:sz w:val="28"/>
      <w:szCs w:val="28"/>
      <w:lang w:eastAsia="en-US"/>
    </w:rPr>
  </w:style>
  <w:style w:type="paragraph" w:styleId="BalloonText">
    <w:name w:val="Balloon Text"/>
    <w:basedOn w:val="Normal"/>
    <w:link w:val="BalloonTextChar"/>
    <w:uiPriority w:val="99"/>
    <w:semiHidden/>
    <w:unhideWhenUsed/>
    <w:rsid w:val="00A06F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6FFC"/>
    <w:rPr>
      <w:rFonts w:ascii="Lucida Grande" w:eastAsia="Cambria" w:hAnsi="Lucida Grande" w:cs="Lucida Grande"/>
      <w:sz w:val="18"/>
      <w:szCs w:val="18"/>
      <w:lang w:val="en-US" w:eastAsia="en-GB"/>
    </w:rPr>
  </w:style>
  <w:style w:type="paragraph" w:styleId="TOC1">
    <w:name w:val="toc 1"/>
    <w:basedOn w:val="Normal"/>
    <w:next w:val="Normal"/>
    <w:autoRedefine/>
    <w:uiPriority w:val="39"/>
    <w:semiHidden/>
    <w:unhideWhenUsed/>
    <w:rsid w:val="00A06FFC"/>
    <w:pPr>
      <w:spacing w:before="120"/>
    </w:pPr>
    <w:rPr>
      <w:rFonts w:asciiTheme="minorHAnsi" w:hAnsiTheme="minorHAnsi"/>
      <w:b/>
    </w:rPr>
  </w:style>
  <w:style w:type="paragraph" w:styleId="TOC2">
    <w:name w:val="toc 2"/>
    <w:basedOn w:val="Normal"/>
    <w:next w:val="Normal"/>
    <w:autoRedefine/>
    <w:uiPriority w:val="39"/>
    <w:semiHidden/>
    <w:unhideWhenUsed/>
    <w:rsid w:val="00A06FFC"/>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A06FFC"/>
    <w:pPr>
      <w:ind w:left="480"/>
    </w:pPr>
    <w:rPr>
      <w:rFonts w:asciiTheme="minorHAnsi" w:hAnsiTheme="minorHAnsi"/>
      <w:sz w:val="22"/>
      <w:szCs w:val="22"/>
    </w:rPr>
  </w:style>
  <w:style w:type="paragraph" w:styleId="TOC4">
    <w:name w:val="toc 4"/>
    <w:basedOn w:val="Normal"/>
    <w:next w:val="Normal"/>
    <w:autoRedefine/>
    <w:uiPriority w:val="39"/>
    <w:semiHidden/>
    <w:unhideWhenUsed/>
    <w:rsid w:val="00A06FFC"/>
    <w:pPr>
      <w:ind w:left="720"/>
    </w:pPr>
    <w:rPr>
      <w:rFonts w:asciiTheme="minorHAnsi" w:hAnsiTheme="minorHAnsi"/>
      <w:sz w:val="20"/>
      <w:szCs w:val="20"/>
    </w:rPr>
  </w:style>
  <w:style w:type="paragraph" w:styleId="TOC5">
    <w:name w:val="toc 5"/>
    <w:basedOn w:val="Normal"/>
    <w:next w:val="Normal"/>
    <w:autoRedefine/>
    <w:uiPriority w:val="39"/>
    <w:semiHidden/>
    <w:unhideWhenUsed/>
    <w:rsid w:val="00A06FF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A06FF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A06FF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A06FF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A06FFC"/>
    <w:pPr>
      <w:ind w:left="1920"/>
    </w:pPr>
    <w:rPr>
      <w:rFonts w:asciiTheme="minorHAnsi" w:hAnsiTheme="minorHAnsi"/>
      <w:sz w:val="20"/>
      <w:szCs w:val="20"/>
    </w:rPr>
  </w:style>
  <w:style w:type="table" w:styleId="TableGrid">
    <w:name w:val="Table Grid"/>
    <w:basedOn w:val="TableNormal"/>
    <w:uiPriority w:val="1"/>
    <w:rsid w:val="00E22A28"/>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993641"/>
  </w:style>
  <w:style w:type="character" w:styleId="PageNumber">
    <w:name w:val="page number"/>
    <w:basedOn w:val="DefaultParagraphFont"/>
    <w:uiPriority w:val="99"/>
    <w:semiHidden/>
    <w:unhideWhenUsed/>
    <w:rsid w:val="00BE5E63"/>
  </w:style>
  <w:style w:type="character" w:styleId="Hyperlink">
    <w:name w:val="Hyperlink"/>
    <w:basedOn w:val="DefaultParagraphFont"/>
    <w:uiPriority w:val="99"/>
    <w:unhideWhenUsed/>
    <w:rsid w:val="00955FFE"/>
    <w:rPr>
      <w:color w:val="0563C1" w:themeColor="hyperlink"/>
      <w:u w:val="single"/>
    </w:rPr>
  </w:style>
  <w:style w:type="character" w:styleId="FollowedHyperlink">
    <w:name w:val="FollowedHyperlink"/>
    <w:basedOn w:val="DefaultParagraphFont"/>
    <w:uiPriority w:val="99"/>
    <w:semiHidden/>
    <w:unhideWhenUsed/>
    <w:rsid w:val="00955FFE"/>
    <w:rPr>
      <w:color w:val="954F72" w:themeColor="followedHyperlink"/>
      <w:u w:val="single"/>
    </w:rPr>
  </w:style>
  <w:style w:type="character" w:styleId="UnresolvedMention">
    <w:name w:val="Unresolved Mention"/>
    <w:basedOn w:val="DefaultParagraphFont"/>
    <w:uiPriority w:val="99"/>
    <w:semiHidden/>
    <w:unhideWhenUsed/>
    <w:rsid w:val="00A76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657">
      <w:bodyDiv w:val="1"/>
      <w:marLeft w:val="0"/>
      <w:marRight w:val="0"/>
      <w:marTop w:val="0"/>
      <w:marBottom w:val="0"/>
      <w:divBdr>
        <w:top w:val="none" w:sz="0" w:space="0" w:color="auto"/>
        <w:left w:val="none" w:sz="0" w:space="0" w:color="auto"/>
        <w:bottom w:val="none" w:sz="0" w:space="0" w:color="auto"/>
        <w:right w:val="none" w:sz="0" w:space="0" w:color="auto"/>
      </w:divBdr>
    </w:div>
    <w:div w:id="374236136">
      <w:bodyDiv w:val="1"/>
      <w:marLeft w:val="0"/>
      <w:marRight w:val="0"/>
      <w:marTop w:val="0"/>
      <w:marBottom w:val="0"/>
      <w:divBdr>
        <w:top w:val="none" w:sz="0" w:space="0" w:color="auto"/>
        <w:left w:val="none" w:sz="0" w:space="0" w:color="auto"/>
        <w:bottom w:val="none" w:sz="0" w:space="0" w:color="auto"/>
        <w:right w:val="none" w:sz="0" w:space="0" w:color="auto"/>
      </w:divBdr>
    </w:div>
    <w:div w:id="806245457">
      <w:bodyDiv w:val="1"/>
      <w:marLeft w:val="0"/>
      <w:marRight w:val="0"/>
      <w:marTop w:val="0"/>
      <w:marBottom w:val="0"/>
      <w:divBdr>
        <w:top w:val="none" w:sz="0" w:space="0" w:color="auto"/>
        <w:left w:val="none" w:sz="0" w:space="0" w:color="auto"/>
        <w:bottom w:val="none" w:sz="0" w:space="0" w:color="auto"/>
        <w:right w:val="none" w:sz="0" w:space="0" w:color="auto"/>
      </w:divBdr>
      <w:divsChild>
        <w:div w:id="402603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138319">
              <w:marLeft w:val="0"/>
              <w:marRight w:val="0"/>
              <w:marTop w:val="0"/>
              <w:marBottom w:val="0"/>
              <w:divBdr>
                <w:top w:val="none" w:sz="0" w:space="0" w:color="auto"/>
                <w:left w:val="none" w:sz="0" w:space="0" w:color="auto"/>
                <w:bottom w:val="none" w:sz="0" w:space="0" w:color="auto"/>
                <w:right w:val="none" w:sz="0" w:space="0" w:color="auto"/>
              </w:divBdr>
              <w:divsChild>
                <w:div w:id="247544006">
                  <w:marLeft w:val="0"/>
                  <w:marRight w:val="0"/>
                  <w:marTop w:val="0"/>
                  <w:marBottom w:val="0"/>
                  <w:divBdr>
                    <w:top w:val="none" w:sz="0" w:space="0" w:color="auto"/>
                    <w:left w:val="none" w:sz="0" w:space="0" w:color="auto"/>
                    <w:bottom w:val="none" w:sz="0" w:space="0" w:color="auto"/>
                    <w:right w:val="none" w:sz="0" w:space="0" w:color="auto"/>
                  </w:divBdr>
                  <w:divsChild>
                    <w:div w:id="188956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21150">
      <w:bodyDiv w:val="1"/>
      <w:marLeft w:val="0"/>
      <w:marRight w:val="0"/>
      <w:marTop w:val="0"/>
      <w:marBottom w:val="0"/>
      <w:divBdr>
        <w:top w:val="none" w:sz="0" w:space="0" w:color="auto"/>
        <w:left w:val="none" w:sz="0" w:space="0" w:color="auto"/>
        <w:bottom w:val="none" w:sz="0" w:space="0" w:color="auto"/>
        <w:right w:val="none" w:sz="0" w:space="0" w:color="auto"/>
      </w:divBdr>
    </w:div>
    <w:div w:id="892501387">
      <w:bodyDiv w:val="1"/>
      <w:marLeft w:val="0"/>
      <w:marRight w:val="0"/>
      <w:marTop w:val="0"/>
      <w:marBottom w:val="0"/>
      <w:divBdr>
        <w:top w:val="none" w:sz="0" w:space="0" w:color="auto"/>
        <w:left w:val="none" w:sz="0" w:space="0" w:color="auto"/>
        <w:bottom w:val="none" w:sz="0" w:space="0" w:color="auto"/>
        <w:right w:val="none" w:sz="0" w:space="0" w:color="auto"/>
      </w:divBdr>
    </w:div>
    <w:div w:id="1121802484">
      <w:bodyDiv w:val="1"/>
      <w:marLeft w:val="0"/>
      <w:marRight w:val="0"/>
      <w:marTop w:val="0"/>
      <w:marBottom w:val="0"/>
      <w:divBdr>
        <w:top w:val="none" w:sz="0" w:space="0" w:color="auto"/>
        <w:left w:val="none" w:sz="0" w:space="0" w:color="auto"/>
        <w:bottom w:val="none" w:sz="0" w:space="0" w:color="auto"/>
        <w:right w:val="none" w:sz="0" w:space="0" w:color="auto"/>
      </w:divBdr>
    </w:div>
    <w:div w:id="17201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iendsanbg.org.au/sites/default/files/pdf/Constitution%20%20-%20October%202015%20Final.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yliffelynden@gmail.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6B98A945A79D46A9065F12561A4AB1"/>
        <w:category>
          <w:name w:val="General"/>
          <w:gallery w:val="placeholder"/>
        </w:category>
        <w:types>
          <w:type w:val="bbPlcHdr"/>
        </w:types>
        <w:behaviors>
          <w:behavior w:val="content"/>
        </w:behaviors>
        <w:guid w:val="{AB5F50BD-EF78-5748-9322-48E6810F21A3}"/>
      </w:docPartPr>
      <w:docPartBody>
        <w:p w:rsidR="00CB4AF8" w:rsidRDefault="007A7287" w:rsidP="007A7287">
          <w:pPr>
            <w:pStyle w:val="026B98A945A79D46A9065F12561A4AB1"/>
          </w:pPr>
          <w:r>
            <w:t>[Type text]</w:t>
          </w:r>
        </w:p>
      </w:docPartBody>
    </w:docPart>
    <w:docPart>
      <w:docPartPr>
        <w:name w:val="8B03EBD1A3AD9D438ACC126A8E4E8351"/>
        <w:category>
          <w:name w:val="General"/>
          <w:gallery w:val="placeholder"/>
        </w:category>
        <w:types>
          <w:type w:val="bbPlcHdr"/>
        </w:types>
        <w:behaviors>
          <w:behavior w:val="content"/>
        </w:behaviors>
        <w:guid w:val="{88813780-41AB-9046-AA8E-4AB302557378}"/>
      </w:docPartPr>
      <w:docPartBody>
        <w:p w:rsidR="00CB4AF8" w:rsidRDefault="007A7287" w:rsidP="007A7287">
          <w:pPr>
            <w:pStyle w:val="8B03EBD1A3AD9D438ACC126A8E4E8351"/>
          </w:pPr>
          <w:r>
            <w:t>[Type text]</w:t>
          </w:r>
        </w:p>
      </w:docPartBody>
    </w:docPart>
    <w:docPart>
      <w:docPartPr>
        <w:name w:val="482705A750EC0A4E8AC9F6F1ACD601A7"/>
        <w:category>
          <w:name w:val="General"/>
          <w:gallery w:val="placeholder"/>
        </w:category>
        <w:types>
          <w:type w:val="bbPlcHdr"/>
        </w:types>
        <w:behaviors>
          <w:behavior w:val="content"/>
        </w:behaviors>
        <w:guid w:val="{665E6A90-52A5-BD49-B550-DFDF6FB643CF}"/>
      </w:docPartPr>
      <w:docPartBody>
        <w:p w:rsidR="00CB4AF8" w:rsidRDefault="007A7287" w:rsidP="007A7287">
          <w:pPr>
            <w:pStyle w:val="482705A750EC0A4E8AC9F6F1ACD601A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287"/>
    <w:rsid w:val="003A2AFF"/>
    <w:rsid w:val="007A7287"/>
    <w:rsid w:val="00CB4AF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6B98A945A79D46A9065F12561A4AB1">
    <w:name w:val="026B98A945A79D46A9065F12561A4AB1"/>
    <w:rsid w:val="007A7287"/>
  </w:style>
  <w:style w:type="paragraph" w:customStyle="1" w:styleId="8B03EBD1A3AD9D438ACC126A8E4E8351">
    <w:name w:val="8B03EBD1A3AD9D438ACC126A8E4E8351"/>
    <w:rsid w:val="007A7287"/>
  </w:style>
  <w:style w:type="paragraph" w:customStyle="1" w:styleId="482705A750EC0A4E8AC9F6F1ACD601A7">
    <w:name w:val="482705A750EC0A4E8AC9F6F1ACD601A7"/>
    <w:rsid w:val="007A7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337D24-E3ED-E24F-9F9A-136D3D4F1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2485</Words>
  <Characters>14170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 3 26 Nov 2021</vt:lpstr>
    </vt:vector>
  </TitlesOfParts>
  <Company/>
  <LinksUpToDate>false</LinksUpToDate>
  <CharactersWithSpaces>16622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3 26 Nov 2021</dc:title>
  <dc:subject/>
  <dc:creator>John Carlson</dc:creator>
  <cp:keywords/>
  <dc:description/>
  <cp:lastModifiedBy>David More</cp:lastModifiedBy>
  <cp:revision>2</cp:revision>
  <cp:lastPrinted>2021-11-25T22:54:00Z</cp:lastPrinted>
  <dcterms:created xsi:type="dcterms:W3CDTF">2022-02-15T05:36:00Z</dcterms:created>
  <dcterms:modified xsi:type="dcterms:W3CDTF">2022-02-15T05:36:00Z</dcterms:modified>
</cp:coreProperties>
</file>